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 attendance: </w:t>
      </w:r>
      <w:r w:rsidDel="00000000" w:rsidR="00000000" w:rsidRPr="00000000">
        <w:rPr>
          <w:rFonts w:ascii="Calibri" w:cs="Calibri" w:eastAsia="Calibri" w:hAnsi="Calibri"/>
          <w:rtl w:val="0"/>
        </w:rPr>
        <w:t xml:space="preserve">Alison Hramiec, Danny Rivera, Norman Lowe, Sonya Page</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Boston Day and Evening Academy</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Board of Trustees Minutes</w:t>
      </w:r>
    </w:p>
    <w:p w:rsidR="00000000" w:rsidDel="00000000" w:rsidP="00000000" w:rsidRDefault="00000000" w:rsidRPr="00000000" w14:paraId="00000004">
      <w:pPr>
        <w:pStyle w:val="Heading3"/>
        <w:spacing w:line="240" w:lineRule="auto"/>
        <w:jc w:val="center"/>
        <w:rPr>
          <w:rFonts w:ascii="Calibri" w:cs="Calibri" w:eastAsia="Calibri" w:hAnsi="Calibri"/>
          <w:sz w:val="22"/>
          <w:szCs w:val="22"/>
        </w:rPr>
      </w:pPr>
      <w:bookmarkStart w:colFirst="0" w:colLast="0" w:name="_m9kbdrug45n7" w:id="0"/>
      <w:bookmarkEnd w:id="0"/>
      <w:r w:rsidDel="00000000" w:rsidR="00000000" w:rsidRPr="00000000">
        <w:rPr>
          <w:rFonts w:ascii="Calibri" w:cs="Calibri" w:eastAsia="Calibri" w:hAnsi="Calibri"/>
          <w:sz w:val="22"/>
          <w:szCs w:val="22"/>
          <w:rtl w:val="0"/>
        </w:rPr>
        <w:t xml:space="preserve">March 10, 2020</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Attendance: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Danny Rivera, Alison Hramiec, Constance Borab, Maddrey Goode, David Jones,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Chris Rotfuss, George Cox, Janet Platt, Toni Elka, Brandy Craford, Sonya Page, Spencer Blasdale, Lauren Barry (BDEA Staff)</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Absent: </w:t>
      </w:r>
      <w:r w:rsidDel="00000000" w:rsidR="00000000" w:rsidRPr="00000000">
        <w:rPr>
          <w:rFonts w:ascii="Calibri" w:cs="Calibri" w:eastAsia="Calibri" w:hAnsi="Calibri"/>
          <w:rtl w:val="0"/>
        </w:rPr>
        <w:t xml:space="preserve">Evelyn Zayas, Spencer Kimball</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BDEA Staff in Attendance:</w:t>
      </w:r>
      <w:r w:rsidDel="00000000" w:rsidR="00000000" w:rsidRPr="00000000">
        <w:rPr>
          <w:rFonts w:ascii="Calibri" w:cs="Calibri" w:eastAsia="Calibri" w:hAnsi="Calibri"/>
          <w:rtl w:val="0"/>
        </w:rPr>
        <w:t xml:space="preserve"> Rawchayl Sahadeo, Cam Scott, Margie Samp, Adrianne Level, Irma Camacho </w:t>
      </w:r>
      <w:r w:rsidDel="00000000" w:rsidR="00000000" w:rsidRPr="00000000">
        <w:rPr>
          <w:rFonts w:ascii="Calibri" w:cs="Calibri" w:eastAsia="Calibri" w:hAnsi="Calibri"/>
          <w:b w:val="1"/>
          <w:rtl w:val="0"/>
        </w:rPr>
        <w:t xml:space="preserve">Clerk:</w:t>
      </w:r>
      <w:r w:rsidDel="00000000" w:rsidR="00000000" w:rsidRPr="00000000">
        <w:rPr>
          <w:rFonts w:ascii="Calibri" w:cs="Calibri" w:eastAsia="Calibri" w:hAnsi="Calibri"/>
          <w:rtl w:val="0"/>
        </w:rPr>
        <w:t xml:space="preserve"> Carla Lee</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Welcome from Board Chair, Review Agenda: (Danny)</w:t>
      </w:r>
    </w:p>
    <w:p w:rsidR="00000000" w:rsidDel="00000000" w:rsidP="00000000" w:rsidRDefault="00000000" w:rsidRPr="00000000" w14:paraId="0000000B">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Danny called to order at 5:38 pm.</w:t>
      </w:r>
    </w:p>
    <w:p w:rsidR="00000000" w:rsidDel="00000000" w:rsidP="00000000" w:rsidRDefault="00000000" w:rsidRPr="00000000" w14:paraId="0000000C">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Approval of November minutes</w:t>
      </w:r>
    </w:p>
    <w:p w:rsidR="00000000" w:rsidDel="00000000" w:rsidP="00000000" w:rsidRDefault="00000000" w:rsidRPr="00000000" w14:paraId="0000000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BoT read through the meeting notes of January 14, 2020. Chris Rotfuss set a motion to Accept the meeting notes; Sonya seconded the motion. There was a unanimous vote of accepting the January minutes. George Cox mentioned that the ETWA vote details were not recorded in the January 14, 2020 meeting notes. However, it was approved. </w:t>
      </w:r>
    </w:p>
    <w:p w:rsidR="00000000" w:rsidDel="00000000" w:rsidP="00000000" w:rsidRDefault="00000000" w:rsidRPr="00000000" w14:paraId="0000000F">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Strategic Priorities SY20 presentation</w:t>
      </w:r>
    </w:p>
    <w:p w:rsidR="00000000" w:rsidDel="00000000" w:rsidP="00000000" w:rsidRDefault="00000000" w:rsidRPr="00000000" w14:paraId="00000011">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Work Groups A, B, C, D - See Powerpoint slide details - attached</w:t>
      </w:r>
    </w:p>
    <w:p w:rsidR="00000000" w:rsidDel="00000000" w:rsidP="00000000" w:rsidRDefault="00000000" w:rsidRPr="00000000" w14:paraId="00000012">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Hramiec gave an overview of the Work Groups and the priorities of the Strategic Plan for the SY19-20. The work groups meet about 1x a month. </w:t>
      </w:r>
    </w:p>
    <w:p w:rsidR="00000000" w:rsidDel="00000000" w:rsidP="00000000" w:rsidRDefault="00000000" w:rsidRPr="00000000" w14:paraId="00000014">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ind w:left="72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Attach a copy of the powerpoint</w:t>
      </w:r>
    </w:p>
    <w:p w:rsidR="00000000" w:rsidDel="00000000" w:rsidP="00000000" w:rsidRDefault="00000000" w:rsidRPr="00000000" w14:paraId="00000016">
      <w:pPr>
        <w:widowControl w:val="0"/>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7">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Questions &amp; Answer section:</w:t>
      </w:r>
    </w:p>
    <w:p w:rsidR="00000000" w:rsidDel="00000000" w:rsidP="00000000" w:rsidRDefault="00000000" w:rsidRPr="00000000" w14:paraId="00000018">
      <w:pPr>
        <w:widowControl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More clarification of the Goal 1.1. The group will explore using the anti-racist BPS toolkit. It looks like many of the schools are hindering the Work Group A.</w:t>
      </w:r>
    </w:p>
    <w:p w:rsidR="00000000" w:rsidDel="00000000" w:rsidP="00000000" w:rsidRDefault="00000000" w:rsidRPr="00000000" w14:paraId="00000019">
      <w:pPr>
        <w:widowControl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Work Group D - They have interviewed graduates. How are the work groups using students in their process? </w:t>
      </w:r>
    </w:p>
    <w:p w:rsidR="00000000" w:rsidDel="00000000" w:rsidP="00000000" w:rsidRDefault="00000000" w:rsidRPr="00000000" w14:paraId="0000001A">
      <w:pPr>
        <w:widowControl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Work Group C - They will interview students from both programs.</w:t>
      </w:r>
    </w:p>
    <w:p w:rsidR="00000000" w:rsidDel="00000000" w:rsidP="00000000" w:rsidRDefault="00000000" w:rsidRPr="00000000" w14:paraId="0000001B">
      <w:pPr>
        <w:widowControl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Work Group A - The consultants are putting work together to work with students. Level and Camacho are going to utilize</w:t>
      </w:r>
    </w:p>
    <w:p w:rsidR="00000000" w:rsidDel="00000000" w:rsidP="00000000" w:rsidRDefault="00000000" w:rsidRPr="00000000" w14:paraId="0000001C">
      <w:pPr>
        <w:widowControl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Work Group B - They have used students for support in their practices. </w:t>
      </w:r>
    </w:p>
    <w:p w:rsidR="00000000" w:rsidDel="00000000" w:rsidP="00000000" w:rsidRDefault="00000000" w:rsidRPr="00000000" w14:paraId="0000001D">
      <w:pPr>
        <w:widowControl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The BPS toolkit requires the voice of students and stakeholders in the process. </w:t>
      </w:r>
    </w:p>
    <w:p w:rsidR="00000000" w:rsidDel="00000000" w:rsidP="00000000" w:rsidRDefault="00000000" w:rsidRPr="00000000" w14:paraId="0000001E">
      <w:pPr>
        <w:widowControl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Why did the previous facilitators leave the school?</w:t>
      </w:r>
    </w:p>
    <w:p w:rsidR="00000000" w:rsidDel="00000000" w:rsidP="00000000" w:rsidRDefault="00000000" w:rsidRPr="00000000" w14:paraId="0000001F">
      <w:pPr>
        <w:widowControl w:val="0"/>
        <w:numPr>
          <w:ilvl w:val="1"/>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There was a divide of interest from the 1st facilitator. There was a bit of tension from the POC and non POC cohorts. For the 2nd year, she had a difference of commitment and didn’t not feel like we were a safe space for them.</w:t>
      </w:r>
    </w:p>
    <w:p w:rsidR="00000000" w:rsidDel="00000000" w:rsidP="00000000" w:rsidRDefault="00000000" w:rsidRPr="00000000" w14:paraId="00000020">
      <w:pPr>
        <w:widowControl w:val="0"/>
        <w:numPr>
          <w:ilvl w:val="1"/>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The 2nd facilitators came mid-way last year. The started working with caucuses and it was not going well. They however applied for the RFP for this school year. </w:t>
      </w:r>
    </w:p>
    <w:p w:rsidR="00000000" w:rsidDel="00000000" w:rsidP="00000000" w:rsidRDefault="00000000" w:rsidRPr="00000000" w14:paraId="00000021">
      <w:pPr>
        <w:widowControl w:val="0"/>
        <w:numPr>
          <w:ilvl w:val="1"/>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The 3rd facilitators had a better proposal - more of a journey less of a work plan. Many of the staff feel less tension with the consultants. Anika and Joseph have been helpful in communication, model relationships, and model anti-racist institutions. They interviewed some staff of the different caucus members to prepare for the affinity groups. </w:t>
      </w:r>
    </w:p>
    <w:p w:rsidR="00000000" w:rsidDel="00000000" w:rsidP="00000000" w:rsidRDefault="00000000" w:rsidRPr="00000000" w14:paraId="00000022">
      <w:pPr>
        <w:widowControl w:val="0"/>
        <w:numPr>
          <w:ilvl w:val="1"/>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Jones said there was a discussion of a “buy back” and wanted more clarification on the purpose and how it would affect BDEA. The options should be explored before BDEA decides which new policies to implement. </w:t>
      </w:r>
    </w:p>
    <w:p w:rsidR="00000000" w:rsidDel="00000000" w:rsidP="00000000" w:rsidRDefault="00000000" w:rsidRPr="00000000" w14:paraId="00000023">
      <w:pPr>
        <w:widowControl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Action Step: </w:t>
      </w:r>
    </w:p>
    <w:p w:rsidR="00000000" w:rsidDel="00000000" w:rsidP="00000000" w:rsidRDefault="00000000" w:rsidRPr="00000000" w14:paraId="00000025">
      <w:pPr>
        <w:widowControl w:val="0"/>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George Cox asked if the BoT could receive access to the Powerpoint slides.</w:t>
      </w:r>
    </w:p>
    <w:p w:rsidR="00000000" w:rsidDel="00000000" w:rsidP="00000000" w:rsidRDefault="00000000" w:rsidRPr="00000000" w14:paraId="00000026">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Connections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What is a perfect day for you?</w:t>
      </w:r>
    </w:p>
    <w:p w:rsidR="00000000" w:rsidDel="00000000" w:rsidP="00000000" w:rsidRDefault="00000000" w:rsidRPr="00000000" w14:paraId="0000002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Calibri" w:cs="Calibri" w:eastAsia="Calibri" w:hAnsi="Calibri"/>
          <w:rtl w:val="0"/>
        </w:rPr>
        <w:t xml:space="preserve">Brandy - Waking up as a millionaire</w:t>
      </w:r>
    </w:p>
    <w:p w:rsidR="00000000" w:rsidDel="00000000" w:rsidP="00000000" w:rsidRDefault="00000000" w:rsidRPr="00000000" w14:paraId="0000002A">
      <w:pPr>
        <w:widowControl w:val="0"/>
        <w:rPr>
          <w:rFonts w:ascii="Calibri" w:cs="Calibri" w:eastAsia="Calibri" w:hAnsi="Calibri"/>
        </w:rPr>
      </w:pPr>
      <w:r w:rsidDel="00000000" w:rsidR="00000000" w:rsidRPr="00000000">
        <w:rPr>
          <w:rFonts w:ascii="Calibri" w:cs="Calibri" w:eastAsia="Calibri" w:hAnsi="Calibri"/>
          <w:rtl w:val="0"/>
        </w:rPr>
        <w:t xml:space="preserve">Danny - Laying on a hammock, doing nothing on a breezy day</w:t>
      </w:r>
    </w:p>
    <w:p w:rsidR="00000000" w:rsidDel="00000000" w:rsidP="00000000" w:rsidRDefault="00000000" w:rsidRPr="00000000" w14:paraId="0000002B">
      <w:pPr>
        <w:widowControl w:val="0"/>
        <w:rPr>
          <w:rFonts w:ascii="Calibri" w:cs="Calibri" w:eastAsia="Calibri" w:hAnsi="Calibri"/>
        </w:rPr>
      </w:pPr>
      <w:r w:rsidDel="00000000" w:rsidR="00000000" w:rsidRPr="00000000">
        <w:rPr>
          <w:rFonts w:ascii="Calibri" w:cs="Calibri" w:eastAsia="Calibri" w:hAnsi="Calibri"/>
          <w:rtl w:val="0"/>
        </w:rPr>
        <w:t xml:space="preserve">Toni - Being with a group of people, cooking outside, nature and food time together, wine</w:t>
      </w:r>
    </w:p>
    <w:p w:rsidR="00000000" w:rsidDel="00000000" w:rsidP="00000000" w:rsidRDefault="00000000" w:rsidRPr="00000000" w14:paraId="0000002C">
      <w:pPr>
        <w:widowControl w:val="0"/>
        <w:rPr>
          <w:rFonts w:ascii="Calibri" w:cs="Calibri" w:eastAsia="Calibri" w:hAnsi="Calibri"/>
        </w:rPr>
      </w:pPr>
      <w:r w:rsidDel="00000000" w:rsidR="00000000" w:rsidRPr="00000000">
        <w:rPr>
          <w:rFonts w:ascii="Calibri" w:cs="Calibri" w:eastAsia="Calibri" w:hAnsi="Calibri"/>
          <w:rtl w:val="0"/>
        </w:rPr>
        <w:t xml:space="preserve">Chris - Planned to go biking, two pop ups presence attending events, saw most of the family, niece won championship, and celebrated sister day</w:t>
      </w:r>
    </w:p>
    <w:p w:rsidR="00000000" w:rsidDel="00000000" w:rsidP="00000000" w:rsidRDefault="00000000" w:rsidRPr="00000000" w14:paraId="0000002D">
      <w:pPr>
        <w:widowControl w:val="0"/>
        <w:rPr>
          <w:rFonts w:ascii="Calibri" w:cs="Calibri" w:eastAsia="Calibri" w:hAnsi="Calibri"/>
        </w:rPr>
      </w:pPr>
      <w:r w:rsidDel="00000000" w:rsidR="00000000" w:rsidRPr="00000000">
        <w:rPr>
          <w:rFonts w:ascii="Calibri" w:cs="Calibri" w:eastAsia="Calibri" w:hAnsi="Calibri"/>
          <w:rtl w:val="0"/>
        </w:rPr>
        <w:t xml:space="preserve">Platt - Food and friends, coffee already made, in the middle of a good book and never left bed</w:t>
      </w:r>
    </w:p>
    <w:p w:rsidR="00000000" w:rsidDel="00000000" w:rsidP="00000000" w:rsidRDefault="00000000" w:rsidRPr="00000000" w14:paraId="0000002E">
      <w:pPr>
        <w:widowControl w:val="0"/>
        <w:rPr>
          <w:rFonts w:ascii="Calibri" w:cs="Calibri" w:eastAsia="Calibri" w:hAnsi="Calibri"/>
        </w:rPr>
      </w:pPr>
      <w:r w:rsidDel="00000000" w:rsidR="00000000" w:rsidRPr="00000000">
        <w:rPr>
          <w:rFonts w:ascii="Calibri" w:cs="Calibri" w:eastAsia="Calibri" w:hAnsi="Calibri"/>
          <w:rtl w:val="0"/>
        </w:rPr>
        <w:t xml:space="preserve">Samp - Something productive, physical, getting something done, sitting at a Paris shop (or Waltham)</w:t>
      </w:r>
    </w:p>
    <w:p w:rsidR="00000000" w:rsidDel="00000000" w:rsidP="00000000" w:rsidRDefault="00000000" w:rsidRPr="00000000" w14:paraId="0000002F">
      <w:pPr>
        <w:widowControl w:val="0"/>
        <w:rPr>
          <w:rFonts w:ascii="Calibri" w:cs="Calibri" w:eastAsia="Calibri" w:hAnsi="Calibri"/>
        </w:rPr>
      </w:pPr>
      <w:r w:rsidDel="00000000" w:rsidR="00000000" w:rsidRPr="00000000">
        <w:rPr>
          <w:rFonts w:ascii="Calibri" w:cs="Calibri" w:eastAsia="Calibri" w:hAnsi="Calibri"/>
          <w:rtl w:val="0"/>
        </w:rPr>
        <w:t xml:space="preserve">Borab - Reading a book - “What it means to be home?” seeking a song of love. In vibration with nature, people, song - a perfect day</w:t>
      </w:r>
    </w:p>
    <w:p w:rsidR="00000000" w:rsidDel="00000000" w:rsidP="00000000" w:rsidRDefault="00000000" w:rsidRPr="00000000" w14:paraId="00000030">
      <w:pPr>
        <w:widowControl w:val="0"/>
        <w:rPr>
          <w:rFonts w:ascii="Calibri" w:cs="Calibri" w:eastAsia="Calibri" w:hAnsi="Calibri"/>
        </w:rPr>
      </w:pPr>
      <w:r w:rsidDel="00000000" w:rsidR="00000000" w:rsidRPr="00000000">
        <w:rPr>
          <w:rFonts w:ascii="Calibri" w:cs="Calibri" w:eastAsia="Calibri" w:hAnsi="Calibri"/>
          <w:rtl w:val="0"/>
        </w:rPr>
        <w:t xml:space="preserve">Spencer - He spent time with his 15-year-old daughter (who is usually on her phone), started a puzzle and spent 5 to 6 hours talking to her. The rest of the family finished the puzzle a week later.</w:t>
      </w:r>
    </w:p>
    <w:p w:rsidR="00000000" w:rsidDel="00000000" w:rsidP="00000000" w:rsidRDefault="00000000" w:rsidRPr="00000000" w14:paraId="0000003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w:t>
        <w:tab/>
        <w:t xml:space="preserve">Development and Advancement Office report</w:t>
      </w:r>
    </w:p>
    <w:p w:rsidR="00000000" w:rsidDel="00000000" w:rsidP="00000000" w:rsidRDefault="00000000" w:rsidRPr="00000000" w14:paraId="00000033">
      <w:pPr>
        <w:widowControl w:val="0"/>
        <w:rPr>
          <w:rFonts w:ascii="Calibri" w:cs="Calibri" w:eastAsia="Calibri" w:hAnsi="Calibri"/>
        </w:rPr>
      </w:pPr>
      <w:r w:rsidDel="00000000" w:rsidR="00000000" w:rsidRPr="00000000">
        <w:rPr>
          <w:rFonts w:ascii="Calibri" w:cs="Calibri" w:eastAsia="Calibri" w:hAnsi="Calibri"/>
          <w:rtl w:val="0"/>
        </w:rPr>
        <w:t xml:space="preserve">NEWS:</w:t>
      </w:r>
    </w:p>
    <w:p w:rsidR="00000000" w:rsidDel="00000000" w:rsidP="00000000" w:rsidRDefault="00000000" w:rsidRPr="00000000" w14:paraId="00000034">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Announcement: We are not hosting the Roseway trip this school year. </w:t>
      </w:r>
    </w:p>
    <w:p w:rsidR="00000000" w:rsidDel="00000000" w:rsidP="00000000" w:rsidRDefault="00000000" w:rsidRPr="00000000" w14:paraId="00000035">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We have a continuance of Barr grant to support 2.0. Recurring grants, wediko, state street are good, state street changed going to enrichment. </w:t>
      </w:r>
    </w:p>
    <w:p w:rsidR="00000000" w:rsidDel="00000000" w:rsidP="00000000" w:rsidRDefault="00000000" w:rsidRPr="00000000" w14:paraId="00000036">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We lost enrichment - 21century having hard time finding grants - sort of art, college and career, PE. There are a lot of funders that seem normal to have in a school. Continuing to look for grants that closes the enrichment funding gap. Edvestors grant, DESE, strategic planning - state and Braitmeyer - asked for smith family foundation mostly to support the college pathway in the 2.0 program. The Smith Family Foundation should support the staff to manage the College and Career Pathways. It is $410k over 2 years with the idea to support the flagship in later years. The idea is for a college career center for the whole school. </w:t>
      </w:r>
    </w:p>
    <w:p w:rsidR="00000000" w:rsidDel="00000000" w:rsidP="00000000" w:rsidRDefault="00000000" w:rsidRPr="00000000" w14:paraId="00000037">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When processing grants, how does Barry solicit grant ideas? Departments or LT can suggest funding purposes and grants. She can help support teacher small grants. She is not directly writing the smaller than $10k grants, more support role. </w:t>
      </w:r>
    </w:p>
    <w:p w:rsidR="00000000" w:rsidDel="00000000" w:rsidP="00000000" w:rsidRDefault="00000000" w:rsidRPr="00000000" w14:paraId="00000038">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annual appeal outcomes SY19-20 started this year. The total received was $11, 675.</w:t>
      </w:r>
    </w:p>
    <w:p w:rsidR="00000000" w:rsidDel="00000000" w:rsidP="00000000" w:rsidRDefault="00000000" w:rsidRPr="00000000" w14:paraId="00000039">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color w:val="ff0000"/>
        </w:rPr>
      </w:pPr>
      <w:r w:rsidDel="00000000" w:rsidR="00000000" w:rsidRPr="00000000">
        <w:rPr>
          <w:rFonts w:ascii="Calibri" w:cs="Calibri" w:eastAsia="Calibri" w:hAnsi="Calibri"/>
          <w:color w:val="ff0000"/>
          <w:rtl w:val="0"/>
        </w:rPr>
        <w:t xml:space="preserve">Insert Barry’s Annual Appeal Outcomes data chart</w:t>
      </w:r>
    </w:p>
    <w:p w:rsidR="00000000" w:rsidDel="00000000" w:rsidP="00000000" w:rsidRDefault="00000000" w:rsidRPr="00000000" w14:paraId="0000003B">
      <w:pPr>
        <w:widowControl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VI. </w:t>
        <w:tab/>
        <w:t xml:space="preserve">BDEA Anniversary and Fundraiser expansion</w:t>
      </w:r>
    </w:p>
    <w:p w:rsidR="00000000" w:rsidDel="00000000" w:rsidP="00000000" w:rsidRDefault="00000000" w:rsidRPr="00000000" w14:paraId="0000003D">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25th BDEA’s Anniversary party (Raise money)</w:t>
      </w:r>
    </w:p>
    <w:p w:rsidR="00000000" w:rsidDel="00000000" w:rsidP="00000000" w:rsidRDefault="00000000" w:rsidRPr="00000000" w14:paraId="0000003F">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June 4, 2020 - Dorchester Brewing - 6-9 pm</w:t>
      </w:r>
    </w:p>
    <w:p w:rsidR="00000000" w:rsidDel="00000000" w:rsidP="00000000" w:rsidRDefault="00000000" w:rsidRPr="00000000" w14:paraId="00000040">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Mix of donors/potential donors, alum, staff</w:t>
      </w:r>
    </w:p>
    <w:p w:rsidR="00000000" w:rsidDel="00000000" w:rsidP="00000000" w:rsidRDefault="00000000" w:rsidRPr="00000000" w14:paraId="00000041">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Build donor base</w:t>
      </w:r>
    </w:p>
    <w:p w:rsidR="00000000" w:rsidDel="00000000" w:rsidP="00000000" w:rsidRDefault="00000000" w:rsidRPr="00000000" w14:paraId="00000042">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Food catering - own catering company</w:t>
      </w:r>
    </w:p>
    <w:p w:rsidR="00000000" w:rsidDel="00000000" w:rsidP="00000000" w:rsidRDefault="00000000" w:rsidRPr="00000000" w14:paraId="00000043">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We do not have the roof deck - people can go up if desired</w:t>
      </w:r>
    </w:p>
    <w:p w:rsidR="00000000" w:rsidDel="00000000" w:rsidP="00000000" w:rsidRDefault="00000000" w:rsidRPr="00000000" w14:paraId="00000044">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Ticket will be $50 donors; $25 for staff</w:t>
      </w:r>
    </w:p>
    <w:p w:rsidR="00000000" w:rsidDel="00000000" w:rsidP="00000000" w:rsidRDefault="00000000" w:rsidRPr="00000000" w14:paraId="00000045">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Build our donor base</w:t>
      </w:r>
    </w:p>
    <w:p w:rsidR="00000000" w:rsidDel="00000000" w:rsidP="00000000" w:rsidRDefault="00000000" w:rsidRPr="00000000" w14:paraId="00000047">
      <w:pPr>
        <w:widowControl w:val="0"/>
        <w:numPr>
          <w:ilvl w:val="1"/>
          <w:numId w:val="4"/>
        </w:numPr>
        <w:ind w:left="144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Insert Barry’s Our Strategy diagram</w:t>
      </w:r>
    </w:p>
    <w:p w:rsidR="00000000" w:rsidDel="00000000" w:rsidP="00000000" w:rsidRDefault="00000000" w:rsidRPr="00000000" w14:paraId="00000048">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Expansion of our “Friends of BDEA” support circle - actively hosting events and fundraisers</w:t>
      </w:r>
    </w:p>
    <w:p w:rsidR="00000000" w:rsidDel="00000000" w:rsidP="00000000" w:rsidRDefault="00000000" w:rsidRPr="00000000" w14:paraId="00000049">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We have some folks acting as de-facto “Friends of BDEA”. We need to be more strategic about who is sending the invite, process</w:t>
      </w:r>
    </w:p>
    <w:p w:rsidR="00000000" w:rsidDel="00000000" w:rsidP="00000000" w:rsidRDefault="00000000" w:rsidRPr="00000000" w14:paraId="0000004A">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Post-Invite Strategy</w:t>
      </w:r>
    </w:p>
    <w:p w:rsidR="00000000" w:rsidDel="00000000" w:rsidP="00000000" w:rsidRDefault="00000000" w:rsidRPr="00000000" w14:paraId="0000004C">
      <w:pPr>
        <w:widowControl w:val="0"/>
        <w:numPr>
          <w:ilvl w:val="1"/>
          <w:numId w:val="4"/>
        </w:numPr>
        <w:ind w:left="144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Insert Post-Invite Strategy slide</w:t>
      </w:r>
    </w:p>
    <w:p w:rsidR="00000000" w:rsidDel="00000000" w:rsidP="00000000" w:rsidRDefault="00000000" w:rsidRPr="00000000" w14:paraId="0000004D">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Intro dates: 4/15, 5/6, 5/20 - 9-10 am - OPEN HOUSE</w:t>
      </w:r>
    </w:p>
    <w:p w:rsidR="00000000" w:rsidDel="00000000" w:rsidP="00000000" w:rsidRDefault="00000000" w:rsidRPr="00000000" w14:paraId="0000004E">
      <w:pPr>
        <w:widowControl w:val="0"/>
        <w:numPr>
          <w:ilvl w:val="1"/>
          <w:numId w:val="4"/>
        </w:numPr>
        <w:ind w:left="144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Insert Our Ask to You slide</w:t>
      </w:r>
    </w:p>
    <w:p w:rsidR="00000000" w:rsidDel="00000000" w:rsidP="00000000" w:rsidRDefault="00000000" w:rsidRPr="00000000" w14:paraId="0000004F">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We want to avoid not following up with potential donors, more personalized donation and networking. We need to strengthen our donor base, and focus our efforts into the expansion.</w:t>
      </w:r>
    </w:p>
    <w:p w:rsidR="00000000" w:rsidDel="00000000" w:rsidP="00000000" w:rsidRDefault="00000000" w:rsidRPr="00000000" w14:paraId="00000050">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Role of Board members </w:t>
      </w:r>
    </w:p>
    <w:p w:rsidR="00000000" w:rsidDel="00000000" w:rsidP="00000000" w:rsidRDefault="00000000" w:rsidRPr="00000000" w14:paraId="00000051">
      <w:pPr>
        <w:widowControl w:val="0"/>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Drive numbers and invite types</w:t>
      </w:r>
    </w:p>
    <w:p w:rsidR="00000000" w:rsidDel="00000000" w:rsidP="00000000" w:rsidRDefault="00000000" w:rsidRPr="00000000" w14:paraId="00000052">
      <w:pPr>
        <w:widowControl w:val="0"/>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Connect, establish or strengthen our relationships, and the funding comes to BDEA</w:t>
      </w:r>
    </w:p>
    <w:p w:rsidR="00000000" w:rsidDel="00000000" w:rsidP="00000000" w:rsidRDefault="00000000" w:rsidRPr="00000000" w14:paraId="00000053">
      <w:pPr>
        <w:widowControl w:val="0"/>
        <w:numPr>
          <w:ilvl w:val="2"/>
          <w:numId w:val="4"/>
        </w:numPr>
        <w:ind w:left="2160" w:hanging="360"/>
        <w:rPr>
          <w:rFonts w:ascii="Calibri" w:cs="Calibri" w:eastAsia="Calibri" w:hAnsi="Calibri"/>
        </w:rPr>
      </w:pPr>
      <w:r w:rsidDel="00000000" w:rsidR="00000000" w:rsidRPr="00000000">
        <w:rPr>
          <w:rFonts w:ascii="Calibri" w:cs="Calibri" w:eastAsia="Calibri" w:hAnsi="Calibri"/>
          <w:rtl w:val="0"/>
        </w:rPr>
        <w:t xml:space="preserve">Barry will create the links, invites, and emails to use for their network</w:t>
      </w:r>
    </w:p>
    <w:p w:rsidR="00000000" w:rsidDel="00000000" w:rsidP="00000000" w:rsidRDefault="00000000" w:rsidRPr="00000000" w14:paraId="00000054">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We discussed having students utilize their businesses they frequent or their jobs to expand our donors.</w:t>
      </w:r>
    </w:p>
    <w:p w:rsidR="00000000" w:rsidDel="00000000" w:rsidP="00000000" w:rsidRDefault="00000000" w:rsidRPr="00000000" w14:paraId="00000055">
      <w:pPr>
        <w:widowControl w:val="0"/>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We discussed the “virus” impact if we need to cancel our event. </w:t>
      </w:r>
    </w:p>
    <w:p w:rsidR="00000000" w:rsidDel="00000000" w:rsidP="00000000" w:rsidRDefault="00000000" w:rsidRPr="00000000" w14:paraId="00000056">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School committee - Slated in April 2020 to present out MOU (2 years overdue) with the Accountability plan. </w:t>
      </w:r>
    </w:p>
    <w:p w:rsidR="00000000" w:rsidDel="00000000" w:rsidP="00000000" w:rsidRDefault="00000000" w:rsidRPr="00000000" w14:paraId="00000057">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Some of the BoT will be on the DESE Focus groups - George, Sonya, and Spencer B.</w:t>
      </w:r>
    </w:p>
    <w:p w:rsidR="00000000" w:rsidDel="00000000" w:rsidP="00000000" w:rsidRDefault="00000000" w:rsidRPr="00000000" w14:paraId="00000058">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990 hour waiver - Hramiec will explore to speak to Chris Tuan (underneath Commissioner Riley). He does not believe that the alternative schools do not need to be under the 990 rule policy. We may have an ally. We are seeing inconsistent guidance on the 990 rule policy. We will explore the conversation before the waiver route.</w:t>
      </w:r>
    </w:p>
    <w:p w:rsidR="00000000" w:rsidDel="00000000" w:rsidP="00000000" w:rsidRDefault="00000000" w:rsidRPr="00000000" w14:paraId="00000059">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We need a Board Welcome - Toni Elka - April 2, 2020. Elka will call Julia Mejia, City Council. </w:t>
      </w:r>
    </w:p>
    <w:p w:rsidR="00000000" w:rsidDel="00000000" w:rsidP="00000000" w:rsidRDefault="00000000" w:rsidRPr="00000000" w14:paraId="0000005A">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June 16 - End of Year Board meeting party - Camacho will send out more details later</w:t>
      </w:r>
    </w:p>
    <w:p w:rsidR="00000000" w:rsidDel="00000000" w:rsidP="00000000" w:rsidRDefault="00000000" w:rsidRPr="00000000" w14:paraId="0000005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VII. </w:t>
        <w:tab/>
        <w:t xml:space="preserve">Executive Session</w:t>
      </w:r>
    </w:p>
    <w:p w:rsidR="00000000" w:rsidDel="00000000" w:rsidP="00000000" w:rsidRDefault="00000000" w:rsidRPr="00000000" w14:paraId="0000005D">
      <w:pPr>
        <w:widowControl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E">
      <w:pPr>
        <w:widowControl w:val="0"/>
        <w:rPr>
          <w:rFonts w:ascii="Calibri" w:cs="Calibri" w:eastAsia="Calibri" w:hAnsi="Calibri"/>
        </w:rPr>
      </w:pPr>
      <w:r w:rsidDel="00000000" w:rsidR="00000000" w:rsidRPr="00000000">
        <w:rPr>
          <w:rFonts w:ascii="Calibri" w:cs="Calibri" w:eastAsia="Calibri" w:hAnsi="Calibri"/>
          <w:rtl w:val="0"/>
        </w:rPr>
        <w:t xml:space="preserve">The official BoT meeting adjourned at 7:05 pm. The Executive team members had a closed session of the Head of School evaluation. </w:t>
      </w:r>
    </w:p>
    <w:p w:rsidR="00000000" w:rsidDel="00000000" w:rsidP="00000000" w:rsidRDefault="00000000" w:rsidRPr="00000000" w14:paraId="0000005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