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6C5B" w:rsidRDefault="00896C5B">
      <w:pPr>
        <w:rPr>
          <w:rFonts w:ascii="Times New Roman" w:eastAsia="Times New Roman" w:hAnsi="Times New Roman" w:cs="Times New Roman"/>
          <w:sz w:val="20"/>
          <w:szCs w:val="20"/>
        </w:rPr>
      </w:pPr>
      <w:bookmarkStart w:id="0" w:name="_GoBack"/>
      <w:bookmarkEnd w:id="0"/>
    </w:p>
    <w:p w14:paraId="00000002" w14:textId="77777777" w:rsidR="00896C5B" w:rsidRDefault="004D059F">
      <w:pPr>
        <w:jc w:val="center"/>
        <w:rPr>
          <w:rFonts w:ascii="Times New Roman" w:eastAsia="Times New Roman" w:hAnsi="Times New Roman" w:cs="Times New Roman"/>
          <w:sz w:val="20"/>
          <w:szCs w:val="20"/>
        </w:rPr>
      </w:pPr>
      <w:r>
        <w:rPr>
          <w:rFonts w:ascii="Calibri" w:eastAsia="Calibri" w:hAnsi="Calibri" w:cs="Calibri"/>
          <w:b/>
          <w:color w:val="000000"/>
          <w:sz w:val="22"/>
          <w:szCs w:val="22"/>
        </w:rPr>
        <w:t>Boston Day and Evening Academy</w:t>
      </w:r>
    </w:p>
    <w:p w14:paraId="00000003" w14:textId="77777777" w:rsidR="00896C5B" w:rsidRDefault="004D059F">
      <w:pPr>
        <w:jc w:val="center"/>
        <w:rPr>
          <w:rFonts w:ascii="Times New Roman" w:eastAsia="Times New Roman" w:hAnsi="Times New Roman" w:cs="Times New Roman"/>
          <w:sz w:val="20"/>
          <w:szCs w:val="20"/>
        </w:rPr>
      </w:pPr>
      <w:r>
        <w:rPr>
          <w:rFonts w:ascii="Calibri" w:eastAsia="Calibri" w:hAnsi="Calibri" w:cs="Calibri"/>
          <w:b/>
          <w:color w:val="000000"/>
          <w:sz w:val="22"/>
          <w:szCs w:val="22"/>
        </w:rPr>
        <w:t>Board of Trustees Minutes</w:t>
      </w:r>
    </w:p>
    <w:p w14:paraId="00000004" w14:textId="77777777" w:rsidR="00896C5B" w:rsidRDefault="004D059F">
      <w:pPr>
        <w:jc w:val="center"/>
        <w:rPr>
          <w:rFonts w:ascii="Times New Roman" w:eastAsia="Times New Roman" w:hAnsi="Times New Roman" w:cs="Times New Roman"/>
          <w:sz w:val="20"/>
          <w:szCs w:val="20"/>
        </w:rPr>
      </w:pPr>
      <w:r>
        <w:rPr>
          <w:rFonts w:ascii="Calibri" w:eastAsia="Calibri" w:hAnsi="Calibri" w:cs="Calibri"/>
          <w:color w:val="434343"/>
          <w:sz w:val="22"/>
          <w:szCs w:val="22"/>
        </w:rPr>
        <w:t>Nov. 12th, 2019</w:t>
      </w:r>
    </w:p>
    <w:p w14:paraId="00000005" w14:textId="77777777" w:rsidR="00896C5B" w:rsidRDefault="00896C5B">
      <w:pPr>
        <w:rPr>
          <w:rFonts w:ascii="Times New Roman" w:eastAsia="Times New Roman" w:hAnsi="Times New Roman" w:cs="Times New Roman"/>
          <w:sz w:val="20"/>
          <w:szCs w:val="20"/>
        </w:rPr>
      </w:pPr>
    </w:p>
    <w:p w14:paraId="00000006" w14:textId="77777777" w:rsidR="00896C5B" w:rsidRDefault="004D059F">
      <w:pPr>
        <w:rPr>
          <w:rFonts w:ascii="Times New Roman" w:eastAsia="Times New Roman" w:hAnsi="Times New Roman" w:cs="Times New Roman"/>
          <w:sz w:val="20"/>
          <w:szCs w:val="20"/>
        </w:rPr>
      </w:pPr>
      <w:r>
        <w:rPr>
          <w:rFonts w:ascii="Calibri" w:eastAsia="Calibri" w:hAnsi="Calibri" w:cs="Calibri"/>
          <w:b/>
          <w:color w:val="000000"/>
          <w:sz w:val="22"/>
          <w:szCs w:val="22"/>
        </w:rPr>
        <w:t>Attendance:</w:t>
      </w:r>
      <w:r>
        <w:rPr>
          <w:rFonts w:ascii="Calibri" w:eastAsia="Calibri" w:hAnsi="Calibri" w:cs="Calibri"/>
          <w:color w:val="FF0000"/>
          <w:sz w:val="22"/>
          <w:szCs w:val="22"/>
        </w:rPr>
        <w:t xml:space="preserve"> </w:t>
      </w:r>
      <w:r>
        <w:rPr>
          <w:rFonts w:ascii="Calibri" w:eastAsia="Calibri" w:hAnsi="Calibri" w:cs="Calibri"/>
          <w:color w:val="000000"/>
          <w:sz w:val="22"/>
          <w:szCs w:val="22"/>
        </w:rPr>
        <w:t>Danny Rivera, Alison Hramiec, Spencer Blasdale, Constance Borab, Maddrey Goode, David Jones,</w:t>
      </w:r>
      <w:r>
        <w:rPr>
          <w:rFonts w:ascii="Calibri" w:eastAsia="Calibri" w:hAnsi="Calibri" w:cs="Calibri"/>
          <w:color w:val="FF0000"/>
          <w:sz w:val="22"/>
          <w:szCs w:val="22"/>
        </w:rPr>
        <w:t xml:space="preserve"> </w:t>
      </w:r>
      <w:r>
        <w:rPr>
          <w:rFonts w:ascii="Calibri" w:eastAsia="Calibri" w:hAnsi="Calibri" w:cs="Calibri"/>
          <w:color w:val="000000"/>
          <w:sz w:val="22"/>
          <w:szCs w:val="22"/>
        </w:rPr>
        <w:t>Chris Rotfuss</w:t>
      </w:r>
    </w:p>
    <w:p w14:paraId="00000007" w14:textId="77777777" w:rsidR="00896C5B" w:rsidRDefault="004D059F">
      <w:pPr>
        <w:rPr>
          <w:rFonts w:ascii="Times New Roman" w:eastAsia="Times New Roman" w:hAnsi="Times New Roman" w:cs="Times New Roman"/>
          <w:sz w:val="20"/>
          <w:szCs w:val="20"/>
        </w:rPr>
      </w:pPr>
      <w:r>
        <w:rPr>
          <w:rFonts w:ascii="Calibri" w:eastAsia="Calibri" w:hAnsi="Calibri" w:cs="Calibri"/>
          <w:b/>
          <w:color w:val="000000"/>
          <w:sz w:val="22"/>
          <w:szCs w:val="22"/>
        </w:rPr>
        <w:t xml:space="preserve">Absent: </w:t>
      </w:r>
      <w:r>
        <w:rPr>
          <w:rFonts w:ascii="Calibri" w:eastAsia="Calibri" w:hAnsi="Calibri" w:cs="Calibri"/>
          <w:color w:val="000000"/>
          <w:sz w:val="22"/>
          <w:szCs w:val="22"/>
        </w:rPr>
        <w:t>Brandy Craford, George Cox, Sonya Page, Spencer Kimball, Toni Elka, Evelyn Zayas</w:t>
      </w:r>
    </w:p>
    <w:p w14:paraId="00000008" w14:textId="77777777" w:rsidR="00896C5B" w:rsidRDefault="004D059F">
      <w:pPr>
        <w:rPr>
          <w:rFonts w:ascii="Times New Roman" w:eastAsia="Times New Roman" w:hAnsi="Times New Roman" w:cs="Times New Roman"/>
          <w:sz w:val="20"/>
          <w:szCs w:val="20"/>
        </w:rPr>
      </w:pPr>
      <w:r>
        <w:rPr>
          <w:rFonts w:ascii="Calibri" w:eastAsia="Calibri" w:hAnsi="Calibri" w:cs="Calibri"/>
          <w:b/>
          <w:color w:val="000000"/>
          <w:sz w:val="22"/>
          <w:szCs w:val="22"/>
        </w:rPr>
        <w:t>Others in Attendance:</w:t>
      </w:r>
      <w:r>
        <w:rPr>
          <w:rFonts w:ascii="Calibri" w:eastAsia="Calibri" w:hAnsi="Calibri" w:cs="Calibri"/>
          <w:color w:val="000000"/>
          <w:sz w:val="22"/>
          <w:szCs w:val="22"/>
        </w:rPr>
        <w:t xml:space="preserve"> Lauren Barry (BDEA Staff), Rawchayl Sa</w:t>
      </w:r>
      <w:r>
        <w:rPr>
          <w:rFonts w:ascii="Calibri" w:eastAsia="Calibri" w:hAnsi="Calibri" w:cs="Calibri"/>
          <w:color w:val="000000"/>
          <w:sz w:val="22"/>
          <w:szCs w:val="22"/>
        </w:rPr>
        <w:t>hadeo (BDEA staff), Cam Scott (BDEA staff)</w:t>
      </w:r>
    </w:p>
    <w:p w14:paraId="00000009" w14:textId="77777777" w:rsidR="00896C5B" w:rsidRDefault="004D059F">
      <w:pPr>
        <w:rPr>
          <w:rFonts w:ascii="Times New Roman" w:eastAsia="Times New Roman" w:hAnsi="Times New Roman" w:cs="Times New Roman"/>
          <w:sz w:val="20"/>
          <w:szCs w:val="20"/>
        </w:rPr>
      </w:pPr>
      <w:r>
        <w:rPr>
          <w:rFonts w:ascii="Calibri" w:eastAsia="Calibri" w:hAnsi="Calibri" w:cs="Calibri"/>
          <w:b/>
          <w:color w:val="000000"/>
          <w:sz w:val="22"/>
          <w:szCs w:val="22"/>
        </w:rPr>
        <w:t>Clerk:</w:t>
      </w:r>
      <w:r>
        <w:rPr>
          <w:rFonts w:ascii="Calibri" w:eastAsia="Calibri" w:hAnsi="Calibri" w:cs="Calibri"/>
          <w:color w:val="000000"/>
          <w:sz w:val="22"/>
          <w:szCs w:val="22"/>
        </w:rPr>
        <w:t xml:space="preserve"> Carla Lee</w:t>
      </w:r>
    </w:p>
    <w:p w14:paraId="0000000A" w14:textId="77777777" w:rsidR="00896C5B" w:rsidRDefault="00896C5B">
      <w:pPr>
        <w:rPr>
          <w:rFonts w:ascii="Times New Roman" w:eastAsia="Times New Roman" w:hAnsi="Times New Roman" w:cs="Times New Roman"/>
          <w:sz w:val="20"/>
          <w:szCs w:val="20"/>
        </w:rPr>
      </w:pPr>
    </w:p>
    <w:p w14:paraId="0000000B" w14:textId="77777777" w:rsidR="00896C5B" w:rsidRDefault="004D059F">
      <w:pPr>
        <w:numPr>
          <w:ilvl w:val="0"/>
          <w:numId w:val="7"/>
        </w:numPr>
        <w:rPr>
          <w:rFonts w:ascii="Calibri" w:eastAsia="Calibri" w:hAnsi="Calibri" w:cs="Calibri"/>
          <w:b/>
          <w:color w:val="000000"/>
          <w:sz w:val="22"/>
          <w:szCs w:val="22"/>
        </w:rPr>
      </w:pPr>
      <w:r>
        <w:rPr>
          <w:rFonts w:ascii="Calibri" w:eastAsia="Calibri" w:hAnsi="Calibri" w:cs="Calibri"/>
          <w:b/>
          <w:color w:val="000000"/>
          <w:sz w:val="22"/>
          <w:szCs w:val="22"/>
        </w:rPr>
        <w:t>Welcome from Board Chair, Review Agenda: (Danny)</w:t>
      </w:r>
    </w:p>
    <w:p w14:paraId="0000000C" w14:textId="77777777" w:rsidR="00896C5B" w:rsidRDefault="004D059F">
      <w:pPr>
        <w:ind w:left="720"/>
        <w:rPr>
          <w:rFonts w:ascii="Times New Roman" w:eastAsia="Times New Roman" w:hAnsi="Times New Roman" w:cs="Times New Roman"/>
          <w:sz w:val="20"/>
          <w:szCs w:val="20"/>
        </w:rPr>
      </w:pPr>
      <w:r>
        <w:rPr>
          <w:rFonts w:ascii="Calibri" w:eastAsia="Calibri" w:hAnsi="Calibri" w:cs="Calibri"/>
          <w:color w:val="000000"/>
          <w:sz w:val="22"/>
          <w:szCs w:val="22"/>
        </w:rPr>
        <w:t>Danny called to order at 5:43</w:t>
      </w:r>
    </w:p>
    <w:p w14:paraId="0000000D" w14:textId="77777777" w:rsidR="00896C5B" w:rsidRDefault="00896C5B">
      <w:pPr>
        <w:rPr>
          <w:rFonts w:ascii="Times New Roman" w:eastAsia="Times New Roman" w:hAnsi="Times New Roman" w:cs="Times New Roman"/>
          <w:sz w:val="20"/>
          <w:szCs w:val="20"/>
        </w:rPr>
      </w:pPr>
    </w:p>
    <w:p w14:paraId="0000000E" w14:textId="77777777" w:rsidR="00896C5B" w:rsidRDefault="004D059F">
      <w:pPr>
        <w:numPr>
          <w:ilvl w:val="0"/>
          <w:numId w:val="8"/>
        </w:numPr>
        <w:rPr>
          <w:rFonts w:ascii="Calibri" w:eastAsia="Calibri" w:hAnsi="Calibri" w:cs="Calibri"/>
          <w:b/>
          <w:color w:val="000000"/>
          <w:sz w:val="22"/>
          <w:szCs w:val="22"/>
        </w:rPr>
      </w:pPr>
      <w:r>
        <w:rPr>
          <w:rFonts w:ascii="Calibri" w:eastAsia="Calibri" w:hAnsi="Calibri" w:cs="Calibri"/>
          <w:b/>
          <w:color w:val="000000"/>
          <w:sz w:val="22"/>
          <w:szCs w:val="22"/>
        </w:rPr>
        <w:t>Approval of October minutes</w:t>
      </w:r>
    </w:p>
    <w:p w14:paraId="0000000F" w14:textId="77777777" w:rsidR="00896C5B" w:rsidRDefault="00896C5B">
      <w:pPr>
        <w:ind w:left="360"/>
        <w:rPr>
          <w:rFonts w:ascii="Calibri" w:eastAsia="Calibri" w:hAnsi="Calibri" w:cs="Calibri"/>
          <w:color w:val="000000"/>
          <w:sz w:val="22"/>
          <w:szCs w:val="22"/>
        </w:rPr>
      </w:pPr>
    </w:p>
    <w:p w14:paraId="00000010" w14:textId="77777777" w:rsidR="00896C5B" w:rsidRDefault="004D059F">
      <w:pPr>
        <w:ind w:left="720"/>
        <w:rPr>
          <w:rFonts w:ascii="Calibri" w:eastAsia="Calibri" w:hAnsi="Calibri" w:cs="Calibri"/>
          <w:color w:val="000000"/>
          <w:sz w:val="22"/>
          <w:szCs w:val="22"/>
        </w:rPr>
      </w:pPr>
      <w:r>
        <w:rPr>
          <w:rFonts w:ascii="Calibri" w:eastAsia="Calibri" w:hAnsi="Calibri" w:cs="Calibri"/>
          <w:color w:val="000000"/>
          <w:sz w:val="22"/>
          <w:szCs w:val="22"/>
        </w:rPr>
        <w:t xml:space="preserve">Spencer Blasdale called to vote to accept minutes. </w:t>
      </w:r>
    </w:p>
    <w:p w14:paraId="00000011" w14:textId="77777777" w:rsidR="00896C5B" w:rsidRDefault="004D059F">
      <w:pPr>
        <w:ind w:left="720"/>
        <w:rPr>
          <w:rFonts w:ascii="Calibri" w:eastAsia="Calibri" w:hAnsi="Calibri" w:cs="Calibri"/>
          <w:color w:val="000000"/>
          <w:sz w:val="22"/>
          <w:szCs w:val="22"/>
        </w:rPr>
      </w:pPr>
      <w:r>
        <w:rPr>
          <w:rFonts w:ascii="Calibri" w:eastAsia="Calibri" w:hAnsi="Calibri" w:cs="Calibri"/>
          <w:color w:val="000000"/>
          <w:sz w:val="22"/>
          <w:szCs w:val="22"/>
        </w:rPr>
        <w:t>Seconded by Chris Rothfuss</w:t>
      </w:r>
    </w:p>
    <w:p w14:paraId="00000012" w14:textId="77777777" w:rsidR="00896C5B" w:rsidRDefault="004D059F">
      <w:pPr>
        <w:ind w:left="720"/>
        <w:rPr>
          <w:rFonts w:ascii="Times New Roman" w:eastAsia="Times New Roman" w:hAnsi="Times New Roman" w:cs="Times New Roman"/>
          <w:sz w:val="20"/>
          <w:szCs w:val="20"/>
        </w:rPr>
      </w:pPr>
      <w:r>
        <w:rPr>
          <w:rFonts w:ascii="Calibri" w:eastAsia="Calibri" w:hAnsi="Calibri" w:cs="Calibri"/>
          <w:color w:val="000000"/>
          <w:sz w:val="22"/>
          <w:szCs w:val="22"/>
        </w:rPr>
        <w:t>Approve</w:t>
      </w:r>
      <w:r>
        <w:rPr>
          <w:rFonts w:ascii="Calibri" w:eastAsia="Calibri" w:hAnsi="Calibri" w:cs="Calibri"/>
          <w:color w:val="000000"/>
          <w:sz w:val="22"/>
          <w:szCs w:val="22"/>
        </w:rPr>
        <w:t>d by board.</w:t>
      </w:r>
    </w:p>
    <w:p w14:paraId="00000013" w14:textId="77777777" w:rsidR="00896C5B" w:rsidRDefault="00896C5B">
      <w:pPr>
        <w:rPr>
          <w:rFonts w:ascii="Times New Roman" w:eastAsia="Times New Roman" w:hAnsi="Times New Roman" w:cs="Times New Roman"/>
          <w:sz w:val="20"/>
          <w:szCs w:val="20"/>
        </w:rPr>
      </w:pPr>
    </w:p>
    <w:p w14:paraId="00000014" w14:textId="77777777" w:rsidR="00896C5B" w:rsidRDefault="004D059F">
      <w:pPr>
        <w:numPr>
          <w:ilvl w:val="0"/>
          <w:numId w:val="9"/>
        </w:numPr>
        <w:rPr>
          <w:rFonts w:ascii="Calibri" w:eastAsia="Calibri" w:hAnsi="Calibri" w:cs="Calibri"/>
          <w:b/>
          <w:color w:val="000000"/>
          <w:sz w:val="22"/>
          <w:szCs w:val="22"/>
        </w:rPr>
      </w:pPr>
      <w:r>
        <w:rPr>
          <w:rFonts w:ascii="Calibri" w:eastAsia="Calibri" w:hAnsi="Calibri" w:cs="Calibri"/>
          <w:b/>
          <w:color w:val="000000"/>
          <w:sz w:val="22"/>
          <w:szCs w:val="22"/>
        </w:rPr>
        <w:t>BDEA Accountability</w:t>
      </w:r>
    </w:p>
    <w:p w14:paraId="00000015" w14:textId="77777777" w:rsidR="00896C5B" w:rsidRDefault="004D059F">
      <w:pPr>
        <w:numPr>
          <w:ilvl w:val="1"/>
          <w:numId w:val="9"/>
        </w:numPr>
        <w:rPr>
          <w:rFonts w:ascii="Calibri" w:eastAsia="Calibri" w:hAnsi="Calibri" w:cs="Calibri"/>
          <w:sz w:val="22"/>
          <w:szCs w:val="22"/>
        </w:rPr>
      </w:pPr>
      <w:r>
        <w:rPr>
          <w:rFonts w:ascii="Calibri" w:eastAsia="Calibri" w:hAnsi="Calibri" w:cs="Calibri"/>
          <w:sz w:val="22"/>
          <w:szCs w:val="22"/>
        </w:rPr>
        <w:t>Head of School</w:t>
      </w:r>
      <w:r>
        <w:rPr>
          <w:rFonts w:ascii="Calibri" w:eastAsia="Calibri" w:hAnsi="Calibri" w:cs="Calibri"/>
          <w:color w:val="000000"/>
          <w:sz w:val="22"/>
          <w:szCs w:val="22"/>
        </w:rPr>
        <w:t xml:space="preserve"> reviewed BDEA’s rating on </w:t>
      </w:r>
      <w:r>
        <w:rPr>
          <w:rFonts w:ascii="Calibri" w:eastAsia="Calibri" w:hAnsi="Calibri" w:cs="Calibri"/>
          <w:sz w:val="22"/>
          <w:szCs w:val="22"/>
        </w:rPr>
        <w:t>the new DESE</w:t>
      </w:r>
      <w:r>
        <w:rPr>
          <w:rFonts w:ascii="Calibri" w:eastAsia="Calibri" w:hAnsi="Calibri" w:cs="Calibri"/>
          <w:color w:val="000000"/>
          <w:sz w:val="22"/>
          <w:szCs w:val="22"/>
        </w:rPr>
        <w:t xml:space="preserve"> Accountability </w:t>
      </w:r>
      <w:r>
        <w:rPr>
          <w:rFonts w:ascii="Calibri" w:eastAsia="Calibri" w:hAnsi="Calibri" w:cs="Calibri"/>
          <w:sz w:val="22"/>
          <w:szCs w:val="22"/>
        </w:rPr>
        <w:t>Report for</w:t>
      </w:r>
      <w:r>
        <w:rPr>
          <w:rFonts w:ascii="Calibri" w:eastAsia="Calibri" w:hAnsi="Calibri" w:cs="Calibri"/>
          <w:color w:val="000000"/>
          <w:sz w:val="22"/>
          <w:szCs w:val="22"/>
        </w:rPr>
        <w:t xml:space="preserve"> SY19</w:t>
      </w:r>
      <w:r>
        <w:rPr>
          <w:rFonts w:ascii="Calibri" w:eastAsia="Calibri" w:hAnsi="Calibri" w:cs="Calibri"/>
          <w:sz w:val="22"/>
          <w:szCs w:val="22"/>
        </w:rPr>
        <w:t xml:space="preserve">. </w:t>
      </w:r>
      <w:r>
        <w:rPr>
          <w:rFonts w:ascii="Calibri" w:eastAsia="Calibri" w:hAnsi="Calibri" w:cs="Calibri"/>
          <w:color w:val="000000"/>
          <w:sz w:val="22"/>
          <w:szCs w:val="22"/>
        </w:rPr>
        <w:t>H</w:t>
      </w:r>
      <w:r>
        <w:rPr>
          <w:rFonts w:ascii="Calibri" w:eastAsia="Calibri" w:hAnsi="Calibri" w:cs="Calibri"/>
          <w:sz w:val="22"/>
          <w:szCs w:val="22"/>
        </w:rPr>
        <w:t xml:space="preserve">oS </w:t>
      </w:r>
      <w:r>
        <w:rPr>
          <w:rFonts w:ascii="Calibri" w:eastAsia="Calibri" w:hAnsi="Calibri" w:cs="Calibri"/>
          <w:color w:val="000000"/>
          <w:sz w:val="22"/>
          <w:szCs w:val="22"/>
        </w:rPr>
        <w:t>reviewed the state MCAS indicators and point values of Achievement, Growth, High School completion, Progress attaining EL proficiency, and Additional indicators. </w:t>
      </w:r>
    </w:p>
    <w:p w14:paraId="00000016" w14:textId="77777777" w:rsidR="00896C5B" w:rsidRDefault="004D059F">
      <w:pPr>
        <w:numPr>
          <w:ilvl w:val="1"/>
          <w:numId w:val="9"/>
        </w:numPr>
        <w:rPr>
          <w:rFonts w:ascii="Calibri" w:eastAsia="Calibri" w:hAnsi="Calibri" w:cs="Calibri"/>
          <w:sz w:val="22"/>
          <w:szCs w:val="22"/>
        </w:rPr>
      </w:pPr>
      <w:r>
        <w:rPr>
          <w:rFonts w:ascii="Calibri" w:eastAsia="Calibri" w:hAnsi="Calibri" w:cs="Calibri"/>
          <w:sz w:val="22"/>
          <w:szCs w:val="22"/>
        </w:rPr>
        <w:t xml:space="preserve">BDEA’s rating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focused/targeted rate group based on low graduation rate and low attendanc</w:t>
      </w:r>
      <w:r>
        <w:rPr>
          <w:rFonts w:ascii="Calibri" w:eastAsia="Calibri" w:hAnsi="Calibri" w:cs="Calibri"/>
          <w:sz w:val="22"/>
          <w:szCs w:val="22"/>
        </w:rPr>
        <w:t>e on MCAS.</w:t>
      </w:r>
    </w:p>
    <w:p w14:paraId="00000017" w14:textId="77777777" w:rsidR="00896C5B" w:rsidRDefault="004D059F">
      <w:pPr>
        <w:numPr>
          <w:ilvl w:val="1"/>
          <w:numId w:val="9"/>
        </w:numPr>
        <w:rPr>
          <w:color w:val="000000"/>
        </w:rPr>
      </w:pPr>
      <w:r>
        <w:rPr>
          <w:rFonts w:ascii="Calibri" w:eastAsia="Calibri" w:hAnsi="Calibri" w:cs="Calibri"/>
          <w:color w:val="000000"/>
          <w:sz w:val="22"/>
          <w:szCs w:val="22"/>
        </w:rPr>
        <w:t xml:space="preserve">The BoT reviewed the DESE data from SY 2018 and 2019, </w:t>
      </w:r>
      <w:r>
        <w:rPr>
          <w:rFonts w:ascii="Calibri" w:eastAsia="Calibri" w:hAnsi="Calibri" w:cs="Calibri"/>
          <w:sz w:val="22"/>
          <w:szCs w:val="22"/>
        </w:rPr>
        <w:t>discussed why changes in rating and made recommendations for how to improve on each indicator.</w:t>
      </w:r>
    </w:p>
    <w:p w14:paraId="00000018" w14:textId="77777777" w:rsidR="00896C5B" w:rsidRDefault="00896C5B">
      <w:pPr>
        <w:rPr>
          <w:rFonts w:ascii="Times New Roman" w:eastAsia="Times New Roman" w:hAnsi="Times New Roman" w:cs="Times New Roman"/>
          <w:sz w:val="20"/>
          <w:szCs w:val="20"/>
        </w:rPr>
      </w:pPr>
    </w:p>
    <w:p w14:paraId="00000019" w14:textId="77777777" w:rsidR="00896C5B" w:rsidRDefault="004D059F">
      <w:pPr>
        <w:numPr>
          <w:ilvl w:val="0"/>
          <w:numId w:val="9"/>
        </w:numPr>
        <w:rPr>
          <w:rFonts w:ascii="Calibri" w:eastAsia="Calibri" w:hAnsi="Calibri" w:cs="Calibri"/>
          <w:b/>
          <w:color w:val="000000"/>
          <w:sz w:val="22"/>
          <w:szCs w:val="22"/>
        </w:rPr>
      </w:pPr>
      <w:r>
        <w:rPr>
          <w:rFonts w:ascii="Calibri" w:eastAsia="Calibri" w:hAnsi="Calibri" w:cs="Calibri"/>
          <w:b/>
          <w:sz w:val="22"/>
          <w:szCs w:val="22"/>
        </w:rPr>
        <w:t xml:space="preserve">Reviewed BDEA </w:t>
      </w:r>
      <w:r>
        <w:rPr>
          <w:rFonts w:ascii="Calibri" w:eastAsia="Calibri" w:hAnsi="Calibri" w:cs="Calibri"/>
          <w:b/>
          <w:color w:val="000000"/>
          <w:sz w:val="22"/>
          <w:szCs w:val="22"/>
        </w:rPr>
        <w:t>Accountability Plan</w:t>
      </w:r>
      <w:r>
        <w:rPr>
          <w:rFonts w:ascii="Calibri" w:eastAsia="Calibri" w:hAnsi="Calibri" w:cs="Calibri"/>
          <w:b/>
          <w:sz w:val="22"/>
          <w:szCs w:val="22"/>
        </w:rPr>
        <w:t xml:space="preserve"> Data from </w:t>
      </w:r>
      <w:r>
        <w:rPr>
          <w:rFonts w:ascii="Calibri" w:eastAsia="Calibri" w:hAnsi="Calibri" w:cs="Calibri"/>
          <w:b/>
          <w:color w:val="000000"/>
          <w:sz w:val="22"/>
          <w:szCs w:val="22"/>
        </w:rPr>
        <w:t>SY 2018-19</w:t>
      </w:r>
    </w:p>
    <w:p w14:paraId="0000001A" w14:textId="77777777" w:rsidR="00896C5B" w:rsidRDefault="00896C5B">
      <w:pPr>
        <w:rPr>
          <w:rFonts w:ascii="Times New Roman" w:eastAsia="Times New Roman" w:hAnsi="Times New Roman" w:cs="Times New Roman"/>
          <w:sz w:val="20"/>
          <w:szCs w:val="20"/>
        </w:rPr>
      </w:pPr>
    </w:p>
    <w:p w14:paraId="0000001B" w14:textId="77777777" w:rsidR="00896C5B" w:rsidRDefault="004D059F">
      <w:pPr>
        <w:numPr>
          <w:ilvl w:val="0"/>
          <w:numId w:val="1"/>
        </w:numPr>
        <w:rPr>
          <w:color w:val="000000"/>
        </w:rPr>
      </w:pPr>
      <w:r>
        <w:rPr>
          <w:rFonts w:ascii="Calibri" w:eastAsia="Calibri" w:hAnsi="Calibri" w:cs="Calibri"/>
          <w:color w:val="000000"/>
          <w:sz w:val="22"/>
          <w:szCs w:val="22"/>
        </w:rPr>
        <w:t>The BoT reviewed</w:t>
      </w:r>
      <w:r>
        <w:rPr>
          <w:rFonts w:ascii="Calibri" w:eastAsia="Calibri" w:hAnsi="Calibri" w:cs="Calibri"/>
          <w:sz w:val="22"/>
          <w:szCs w:val="22"/>
        </w:rPr>
        <w:t xml:space="preserve"> BDEA’s annual report which is a review of SY19 along with progress on BDEA accountability measures. The annual report was submitted to DESE this past July. BDEA has met all measures, except for two measures that define our student population meeting the m</w:t>
      </w:r>
      <w:r>
        <w:rPr>
          <w:rFonts w:ascii="Calibri" w:eastAsia="Calibri" w:hAnsi="Calibri" w:cs="Calibri"/>
          <w:sz w:val="22"/>
          <w:szCs w:val="22"/>
        </w:rPr>
        <w:t xml:space="preserve">ission of the school. It was also noted that one of the required accountability measures requires BDEA to disseminate its practice, a goal we removed from our strategic plan as we re-wrote it for the next three years. </w:t>
      </w:r>
    </w:p>
    <w:p w14:paraId="0000001C" w14:textId="77777777" w:rsidR="00896C5B" w:rsidRDefault="00896C5B">
      <w:pPr>
        <w:ind w:left="720"/>
        <w:rPr>
          <w:rFonts w:ascii="Calibri" w:eastAsia="Calibri" w:hAnsi="Calibri" w:cs="Calibri"/>
          <w:sz w:val="22"/>
          <w:szCs w:val="22"/>
        </w:rPr>
      </w:pPr>
    </w:p>
    <w:p w14:paraId="0000001D" w14:textId="77777777" w:rsidR="00896C5B" w:rsidRDefault="004D059F">
      <w:pPr>
        <w:numPr>
          <w:ilvl w:val="0"/>
          <w:numId w:val="2"/>
        </w:numPr>
        <w:rPr>
          <w:rFonts w:ascii="Calibri" w:eastAsia="Calibri" w:hAnsi="Calibri" w:cs="Calibri"/>
          <w:color w:val="000000"/>
          <w:sz w:val="22"/>
          <w:szCs w:val="22"/>
        </w:rPr>
      </w:pPr>
      <w:r>
        <w:rPr>
          <w:rFonts w:ascii="Calibri" w:eastAsia="Calibri" w:hAnsi="Calibri" w:cs="Calibri"/>
          <w:b/>
          <w:color w:val="000000"/>
          <w:sz w:val="22"/>
          <w:szCs w:val="22"/>
        </w:rPr>
        <w:t xml:space="preserve">Advancement Update </w:t>
      </w:r>
    </w:p>
    <w:p w14:paraId="0000001E" w14:textId="77777777" w:rsidR="00896C5B" w:rsidRDefault="004D059F">
      <w:pPr>
        <w:numPr>
          <w:ilvl w:val="1"/>
          <w:numId w:val="2"/>
        </w:numPr>
        <w:rPr>
          <w:color w:val="000000"/>
        </w:rPr>
      </w:pPr>
      <w:r>
        <w:rPr>
          <w:rFonts w:ascii="Calibri" w:eastAsia="Calibri" w:hAnsi="Calibri" w:cs="Calibri"/>
          <w:color w:val="000000"/>
          <w:sz w:val="22"/>
          <w:szCs w:val="22"/>
        </w:rPr>
        <w:t>Red Sox marketin</w:t>
      </w:r>
      <w:r>
        <w:rPr>
          <w:rFonts w:ascii="Calibri" w:eastAsia="Calibri" w:hAnsi="Calibri" w:cs="Calibri"/>
          <w:color w:val="000000"/>
          <w:sz w:val="22"/>
          <w:szCs w:val="22"/>
        </w:rPr>
        <w:t>g materials - printed 1000 copies</w:t>
      </w:r>
    </w:p>
    <w:p w14:paraId="0000001F" w14:textId="77777777" w:rsidR="00896C5B" w:rsidRDefault="004D059F">
      <w:pPr>
        <w:numPr>
          <w:ilvl w:val="1"/>
          <w:numId w:val="2"/>
        </w:numPr>
        <w:rPr>
          <w:color w:val="000000"/>
        </w:rPr>
      </w:pPr>
      <w:r>
        <w:rPr>
          <w:rFonts w:ascii="Calibri" w:eastAsia="Calibri" w:hAnsi="Calibri" w:cs="Calibri"/>
          <w:color w:val="000000"/>
          <w:sz w:val="22"/>
          <w:szCs w:val="22"/>
        </w:rPr>
        <w:t>“Friends of BDEA” event - BDEA Breakfast - Dec. 11 - BARR Foundation Pilot House (32 Atlantic)</w:t>
      </w:r>
      <w:r>
        <w:rPr>
          <w:rFonts w:ascii="Calibri" w:eastAsia="Calibri" w:hAnsi="Calibri" w:cs="Calibri"/>
          <w:sz w:val="22"/>
          <w:szCs w:val="22"/>
        </w:rPr>
        <w:t xml:space="preserve">. </w:t>
      </w:r>
      <w:r>
        <w:rPr>
          <w:rFonts w:ascii="Calibri" w:eastAsia="Calibri" w:hAnsi="Calibri" w:cs="Calibri"/>
          <w:color w:val="000000"/>
          <w:sz w:val="22"/>
          <w:szCs w:val="22"/>
        </w:rPr>
        <w:t xml:space="preserve">Jill Shah (Shah Foundation) and Dr Lindsa McIntyre (BPS) </w:t>
      </w:r>
      <w:r>
        <w:rPr>
          <w:rFonts w:ascii="Calibri" w:eastAsia="Calibri" w:hAnsi="Calibri" w:cs="Calibri"/>
          <w:sz w:val="22"/>
          <w:szCs w:val="22"/>
        </w:rPr>
        <w:t>are guest speakers</w:t>
      </w:r>
    </w:p>
    <w:p w14:paraId="00000020" w14:textId="77777777" w:rsidR="00896C5B" w:rsidRDefault="004D059F">
      <w:pPr>
        <w:numPr>
          <w:ilvl w:val="1"/>
          <w:numId w:val="2"/>
        </w:numPr>
        <w:rPr>
          <w:color w:val="000000"/>
        </w:rPr>
      </w:pPr>
      <w:r>
        <w:rPr>
          <w:rFonts w:ascii="Calibri" w:eastAsia="Calibri" w:hAnsi="Calibri" w:cs="Calibri"/>
          <w:color w:val="000000"/>
          <w:sz w:val="22"/>
          <w:szCs w:val="22"/>
        </w:rPr>
        <w:t xml:space="preserve">BDEA Foundation Board – </w:t>
      </w:r>
      <w:r>
        <w:rPr>
          <w:rFonts w:ascii="Calibri" w:eastAsia="Calibri" w:hAnsi="Calibri" w:cs="Calibri"/>
          <w:sz w:val="22"/>
          <w:szCs w:val="22"/>
        </w:rPr>
        <w:t>in the exploratory stages.</w:t>
      </w:r>
      <w:r>
        <w:rPr>
          <w:rFonts w:ascii="Calibri" w:eastAsia="Calibri" w:hAnsi="Calibri" w:cs="Calibri"/>
          <w:sz w:val="22"/>
          <w:szCs w:val="22"/>
        </w:rPr>
        <w:t xml:space="preserve"> BDEA board of trustees gave feedback and asked questions on how the two foundations would be connected. Next steps, finding a pro-bono lawyer to help with writing of foundation </w:t>
      </w:r>
      <w:proofErr w:type="gramStart"/>
      <w:r>
        <w:rPr>
          <w:rFonts w:ascii="Calibri" w:eastAsia="Calibri" w:hAnsi="Calibri" w:cs="Calibri"/>
          <w:sz w:val="22"/>
          <w:szCs w:val="22"/>
        </w:rPr>
        <w:t>bi-laws</w:t>
      </w:r>
      <w:proofErr w:type="gramEnd"/>
      <w:r>
        <w:rPr>
          <w:rFonts w:ascii="Calibri" w:eastAsia="Calibri" w:hAnsi="Calibri" w:cs="Calibri"/>
          <w:sz w:val="22"/>
          <w:szCs w:val="22"/>
        </w:rPr>
        <w:t xml:space="preserve">. BDEA Board of Trustees will review and approve these </w:t>
      </w:r>
      <w:proofErr w:type="gramStart"/>
      <w:r>
        <w:rPr>
          <w:rFonts w:ascii="Calibri" w:eastAsia="Calibri" w:hAnsi="Calibri" w:cs="Calibri"/>
          <w:sz w:val="22"/>
          <w:szCs w:val="22"/>
        </w:rPr>
        <w:t>bi-</w:t>
      </w:r>
      <w:r>
        <w:rPr>
          <w:rFonts w:ascii="Calibri" w:eastAsia="Calibri" w:hAnsi="Calibri" w:cs="Calibri"/>
          <w:sz w:val="22"/>
          <w:szCs w:val="22"/>
        </w:rPr>
        <w:lastRenderedPageBreak/>
        <w:t>laws</w:t>
      </w:r>
      <w:proofErr w:type="gramEnd"/>
      <w:r>
        <w:rPr>
          <w:rFonts w:ascii="Calibri" w:eastAsia="Calibri" w:hAnsi="Calibri" w:cs="Calibri"/>
          <w:sz w:val="22"/>
          <w:szCs w:val="22"/>
        </w:rPr>
        <w:t xml:space="preserve"> as well </w:t>
      </w:r>
      <w:r>
        <w:rPr>
          <w:rFonts w:ascii="Calibri" w:eastAsia="Calibri" w:hAnsi="Calibri" w:cs="Calibri"/>
          <w:sz w:val="22"/>
          <w:szCs w:val="22"/>
        </w:rPr>
        <w:t xml:space="preserve">as the structure for how funding moves between the foundation and the school. </w:t>
      </w:r>
    </w:p>
    <w:p w14:paraId="00000021" w14:textId="77777777" w:rsidR="00896C5B" w:rsidRDefault="00896C5B">
      <w:pPr>
        <w:rPr>
          <w:rFonts w:ascii="Times New Roman" w:eastAsia="Times New Roman" w:hAnsi="Times New Roman" w:cs="Times New Roman"/>
          <w:sz w:val="20"/>
          <w:szCs w:val="20"/>
        </w:rPr>
      </w:pPr>
    </w:p>
    <w:p w14:paraId="00000022" w14:textId="77777777" w:rsidR="00896C5B" w:rsidRDefault="004D059F">
      <w:pPr>
        <w:numPr>
          <w:ilvl w:val="0"/>
          <w:numId w:val="3"/>
        </w:numPr>
        <w:rPr>
          <w:rFonts w:ascii="Calibri" w:eastAsia="Calibri" w:hAnsi="Calibri" w:cs="Calibri"/>
          <w:color w:val="000000"/>
          <w:sz w:val="22"/>
          <w:szCs w:val="22"/>
        </w:rPr>
      </w:pPr>
      <w:r>
        <w:rPr>
          <w:rFonts w:ascii="Calibri" w:eastAsia="Calibri" w:hAnsi="Calibri" w:cs="Calibri"/>
          <w:b/>
          <w:color w:val="000000"/>
          <w:sz w:val="22"/>
          <w:szCs w:val="22"/>
        </w:rPr>
        <w:t>Connections:</w:t>
      </w:r>
      <w:r>
        <w:rPr>
          <w:rFonts w:ascii="Calibri" w:eastAsia="Calibri" w:hAnsi="Calibri" w:cs="Calibri"/>
          <w:color w:val="000000"/>
          <w:sz w:val="22"/>
          <w:szCs w:val="22"/>
        </w:rPr>
        <w:t xml:space="preserve"> In the spirit of Thanksgiving, what are you grateful for? </w:t>
      </w:r>
    </w:p>
    <w:p w14:paraId="00000023" w14:textId="77777777" w:rsidR="00896C5B" w:rsidRDefault="004D059F">
      <w:pPr>
        <w:numPr>
          <w:ilvl w:val="1"/>
          <w:numId w:val="3"/>
        </w:numPr>
        <w:rPr>
          <w:color w:val="000000"/>
        </w:rPr>
      </w:pPr>
      <w:r>
        <w:rPr>
          <w:rFonts w:ascii="Calibri" w:eastAsia="Calibri" w:hAnsi="Calibri" w:cs="Calibri"/>
          <w:sz w:val="22"/>
          <w:szCs w:val="22"/>
        </w:rPr>
        <w:t>Board shared reflections</w:t>
      </w:r>
    </w:p>
    <w:p w14:paraId="00000024" w14:textId="77777777" w:rsidR="00896C5B" w:rsidRDefault="00896C5B">
      <w:pPr>
        <w:rPr>
          <w:rFonts w:ascii="Times New Roman" w:eastAsia="Times New Roman" w:hAnsi="Times New Roman" w:cs="Times New Roman"/>
          <w:sz w:val="20"/>
          <w:szCs w:val="20"/>
        </w:rPr>
      </w:pPr>
    </w:p>
    <w:p w14:paraId="00000025" w14:textId="77777777" w:rsidR="00896C5B" w:rsidRDefault="004D059F">
      <w:pPr>
        <w:numPr>
          <w:ilvl w:val="0"/>
          <w:numId w:val="4"/>
        </w:numPr>
        <w:rPr>
          <w:rFonts w:ascii="Calibri" w:eastAsia="Calibri" w:hAnsi="Calibri" w:cs="Calibri"/>
          <w:b/>
          <w:color w:val="000000"/>
          <w:sz w:val="22"/>
          <w:szCs w:val="22"/>
        </w:rPr>
      </w:pPr>
      <w:r>
        <w:rPr>
          <w:rFonts w:ascii="Calibri" w:eastAsia="Calibri" w:hAnsi="Calibri" w:cs="Calibri"/>
          <w:b/>
          <w:color w:val="000000"/>
          <w:sz w:val="22"/>
          <w:szCs w:val="22"/>
        </w:rPr>
        <w:t>Updates </w:t>
      </w:r>
    </w:p>
    <w:p w14:paraId="00000026" w14:textId="77777777" w:rsidR="00896C5B" w:rsidRDefault="00896C5B">
      <w:pPr>
        <w:rPr>
          <w:rFonts w:ascii="Times New Roman" w:eastAsia="Times New Roman" w:hAnsi="Times New Roman" w:cs="Times New Roman"/>
          <w:sz w:val="20"/>
          <w:szCs w:val="20"/>
        </w:rPr>
      </w:pPr>
    </w:p>
    <w:p w14:paraId="00000027" w14:textId="77777777" w:rsidR="00896C5B" w:rsidRDefault="004D059F">
      <w:pPr>
        <w:rPr>
          <w:rFonts w:ascii="Calibri" w:eastAsia="Calibri" w:hAnsi="Calibri" w:cs="Calibri"/>
          <w:sz w:val="22"/>
          <w:szCs w:val="22"/>
        </w:rPr>
      </w:pPr>
      <w:r>
        <w:rPr>
          <w:rFonts w:ascii="Calibri" w:eastAsia="Calibri" w:hAnsi="Calibri" w:cs="Calibri"/>
          <w:b/>
          <w:color w:val="000000"/>
          <w:sz w:val="22"/>
          <w:szCs w:val="22"/>
        </w:rPr>
        <w:t xml:space="preserve">MOU </w:t>
      </w:r>
      <w:r>
        <w:rPr>
          <w:rFonts w:ascii="Calibri" w:eastAsia="Calibri" w:hAnsi="Calibri" w:cs="Calibri"/>
          <w:color w:val="000000"/>
          <w:sz w:val="22"/>
          <w:szCs w:val="22"/>
        </w:rPr>
        <w:t xml:space="preserve">- </w:t>
      </w:r>
      <w:r>
        <w:rPr>
          <w:rFonts w:ascii="Calibri" w:eastAsia="Calibri" w:hAnsi="Calibri" w:cs="Calibri"/>
          <w:sz w:val="22"/>
          <w:szCs w:val="22"/>
        </w:rPr>
        <w:t xml:space="preserve">Board was asked to vote on changes to MOU that have been made by BDEA executive team in collaboration with BPS legal team. The MOU </w:t>
      </w:r>
      <w:r>
        <w:rPr>
          <w:rFonts w:ascii="Calibri" w:eastAsia="Calibri" w:hAnsi="Calibri" w:cs="Calibri"/>
          <w:color w:val="000000"/>
          <w:sz w:val="22"/>
          <w:szCs w:val="22"/>
        </w:rPr>
        <w:t xml:space="preserve">defines our relationship with BPS and BDEA </w:t>
      </w:r>
      <w:r>
        <w:rPr>
          <w:rFonts w:ascii="Calibri" w:eastAsia="Calibri" w:hAnsi="Calibri" w:cs="Calibri"/>
          <w:sz w:val="22"/>
          <w:szCs w:val="22"/>
        </w:rPr>
        <w:t xml:space="preserve">Changes were reviewed and board was asked to vote on these changes. </w:t>
      </w:r>
    </w:p>
    <w:p w14:paraId="00000028" w14:textId="77777777" w:rsidR="00896C5B" w:rsidRDefault="004D059F">
      <w:pPr>
        <w:rPr>
          <w:rFonts w:ascii="Calibri" w:eastAsia="Calibri" w:hAnsi="Calibri" w:cs="Calibri"/>
          <w:sz w:val="22"/>
          <w:szCs w:val="22"/>
          <w:u w:val="single"/>
        </w:rPr>
      </w:pPr>
      <w:r>
        <w:rPr>
          <w:rFonts w:ascii="Calibri" w:eastAsia="Calibri" w:hAnsi="Calibri" w:cs="Calibri"/>
          <w:sz w:val="22"/>
          <w:szCs w:val="22"/>
          <w:u w:val="single"/>
        </w:rPr>
        <w:t>Vote:</w:t>
      </w:r>
    </w:p>
    <w:p w14:paraId="00000029" w14:textId="77777777" w:rsidR="00896C5B" w:rsidRDefault="004D059F">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Constan</w:t>
      </w:r>
      <w:r>
        <w:rPr>
          <w:rFonts w:ascii="Calibri" w:eastAsia="Calibri" w:hAnsi="Calibri" w:cs="Calibri"/>
          <w:color w:val="000000"/>
          <w:sz w:val="22"/>
          <w:szCs w:val="22"/>
        </w:rPr>
        <w:t>ce Borab motions</w:t>
      </w:r>
      <w:r>
        <w:rPr>
          <w:rFonts w:ascii="Calibri" w:eastAsia="Calibri" w:hAnsi="Calibri" w:cs="Calibri"/>
          <w:color w:val="000000"/>
          <w:sz w:val="22"/>
          <w:szCs w:val="22"/>
        </w:rPr>
        <w:t xml:space="preserve"> to accept the MOU with a qualifying indicator </w:t>
      </w:r>
      <w:r>
        <w:rPr>
          <w:rFonts w:ascii="Calibri" w:eastAsia="Calibri" w:hAnsi="Calibri" w:cs="Calibri"/>
          <w:sz w:val="22"/>
          <w:szCs w:val="22"/>
        </w:rPr>
        <w:t xml:space="preserve">that the language around how BPS would support students on IEP’s is not finalized. BPS has since removed the sentence ‘BPS will be responsible for responding to requests for support on student placement within </w:t>
      </w:r>
      <w:proofErr w:type="gramStart"/>
      <w:r>
        <w:rPr>
          <w:rFonts w:ascii="Calibri" w:eastAsia="Calibri" w:hAnsi="Calibri" w:cs="Calibri"/>
          <w:sz w:val="22"/>
          <w:szCs w:val="22"/>
        </w:rPr>
        <w:t>one week</w:t>
      </w:r>
      <w:proofErr w:type="gramEnd"/>
      <w:r>
        <w:rPr>
          <w:rFonts w:ascii="Calibri" w:eastAsia="Calibri" w:hAnsi="Calibri" w:cs="Calibri"/>
          <w:sz w:val="22"/>
          <w:szCs w:val="22"/>
        </w:rPr>
        <w:t xml:space="preserve"> time period’. BPS wants to keep langu</w:t>
      </w:r>
      <w:r>
        <w:rPr>
          <w:rFonts w:ascii="Calibri" w:eastAsia="Calibri" w:hAnsi="Calibri" w:cs="Calibri"/>
          <w:sz w:val="22"/>
          <w:szCs w:val="22"/>
        </w:rPr>
        <w:t>age consistent across all schools and not add this sentence.</w:t>
      </w:r>
    </w:p>
    <w:p w14:paraId="0000002A" w14:textId="77777777" w:rsidR="00896C5B" w:rsidRDefault="004D059F">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Seconded by Spencer Blasdale</w:t>
      </w:r>
    </w:p>
    <w:p w14:paraId="0000002B" w14:textId="77777777" w:rsidR="00896C5B" w:rsidRDefault="004D059F">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Unanimous agreement - All in favor, no abstains</w:t>
      </w:r>
    </w:p>
    <w:p w14:paraId="0000002C" w14:textId="77777777" w:rsidR="00896C5B" w:rsidRDefault="00896C5B">
      <w:pPr>
        <w:rPr>
          <w:rFonts w:ascii="Calibri" w:eastAsia="Calibri" w:hAnsi="Calibri" w:cs="Calibri"/>
          <w:sz w:val="22"/>
          <w:szCs w:val="22"/>
        </w:rPr>
      </w:pPr>
    </w:p>
    <w:p w14:paraId="0000002D" w14:textId="77777777" w:rsidR="00896C5B" w:rsidRDefault="004D059F">
      <w:pPr>
        <w:rPr>
          <w:rFonts w:ascii="Calibri" w:eastAsia="Calibri" w:hAnsi="Calibri" w:cs="Calibri"/>
          <w:b/>
          <w:color w:val="000000"/>
          <w:sz w:val="22"/>
          <w:szCs w:val="22"/>
        </w:rPr>
      </w:pPr>
      <w:r>
        <w:rPr>
          <w:rFonts w:ascii="Calibri" w:eastAsia="Calibri" w:hAnsi="Calibri" w:cs="Calibri"/>
          <w:b/>
          <w:sz w:val="22"/>
          <w:szCs w:val="22"/>
        </w:rPr>
        <w:t xml:space="preserve">Board </w:t>
      </w:r>
      <w:r>
        <w:rPr>
          <w:rFonts w:ascii="Calibri" w:eastAsia="Calibri" w:hAnsi="Calibri" w:cs="Calibri"/>
          <w:b/>
          <w:color w:val="000000"/>
          <w:sz w:val="22"/>
          <w:szCs w:val="22"/>
        </w:rPr>
        <w:t>Reviewed the Mission statement with the new line statement</w:t>
      </w:r>
    </w:p>
    <w:p w14:paraId="0000002E" w14:textId="77777777" w:rsidR="00896C5B" w:rsidRDefault="004D059F">
      <w:pPr>
        <w:rPr>
          <w:rFonts w:ascii="Calibri" w:eastAsia="Calibri" w:hAnsi="Calibri" w:cs="Calibri"/>
          <w:color w:val="000000"/>
          <w:sz w:val="22"/>
          <w:szCs w:val="22"/>
        </w:rPr>
      </w:pPr>
      <w:bookmarkStart w:id="1" w:name="_gjdgxs" w:colFirst="0" w:colLast="0"/>
      <w:bookmarkEnd w:id="1"/>
      <w:r>
        <w:rPr>
          <w:rFonts w:ascii="Calibri" w:eastAsia="Calibri" w:hAnsi="Calibri" w:cs="Calibri"/>
          <w:sz w:val="22"/>
          <w:szCs w:val="22"/>
        </w:rPr>
        <w:t>Board approved to add the following sentence to our mission and vision, so that the document better describes our student population</w:t>
      </w:r>
    </w:p>
    <w:p w14:paraId="0000002F" w14:textId="77777777" w:rsidR="00896C5B" w:rsidRDefault="00896C5B">
      <w:pPr>
        <w:rPr>
          <w:rFonts w:ascii="Calibri" w:eastAsia="Calibri" w:hAnsi="Calibri" w:cs="Calibri"/>
          <w:sz w:val="22"/>
          <w:szCs w:val="22"/>
        </w:rPr>
      </w:pPr>
    </w:p>
    <w:p w14:paraId="00000030" w14:textId="77777777" w:rsidR="00896C5B" w:rsidRDefault="004D059F">
      <w:pPr>
        <w:rPr>
          <w:rFonts w:ascii="Calibri" w:eastAsia="Calibri" w:hAnsi="Calibri" w:cs="Calibri"/>
          <w:sz w:val="22"/>
          <w:szCs w:val="22"/>
        </w:rPr>
      </w:pPr>
      <w:r>
        <w:rPr>
          <w:rFonts w:ascii="Calibri" w:eastAsia="Calibri" w:hAnsi="Calibri" w:cs="Calibri"/>
          <w:b/>
          <w:color w:val="000000"/>
          <w:sz w:val="22"/>
          <w:szCs w:val="22"/>
        </w:rPr>
        <w:t>Addendum: Per email conversation, approved the following missio</w:t>
      </w:r>
      <w:r>
        <w:rPr>
          <w:rFonts w:ascii="Calibri" w:eastAsia="Calibri" w:hAnsi="Calibri" w:cs="Calibri"/>
          <w:b/>
          <w:color w:val="000000"/>
          <w:sz w:val="22"/>
          <w:szCs w:val="22"/>
        </w:rPr>
        <w:t>n and vision statement:</w:t>
      </w:r>
    </w:p>
    <w:p w14:paraId="00000031" w14:textId="77777777" w:rsidR="00896C5B" w:rsidRDefault="00896C5B">
      <w:pPr>
        <w:rPr>
          <w:rFonts w:ascii="Calibri" w:eastAsia="Calibri" w:hAnsi="Calibri" w:cs="Calibri"/>
          <w:sz w:val="22"/>
          <w:szCs w:val="22"/>
        </w:rPr>
      </w:pPr>
    </w:p>
    <w:p w14:paraId="00000032" w14:textId="77777777" w:rsidR="00896C5B" w:rsidRDefault="004D059F">
      <w:pPr>
        <w:rPr>
          <w:rFonts w:ascii="Calibri" w:eastAsia="Calibri" w:hAnsi="Calibri" w:cs="Calibri"/>
          <w:sz w:val="22"/>
          <w:szCs w:val="22"/>
        </w:rPr>
      </w:pPr>
      <w:r>
        <w:rPr>
          <w:rFonts w:ascii="Calibri" w:eastAsia="Calibri" w:hAnsi="Calibri" w:cs="Calibri"/>
          <w:b/>
          <w:color w:val="000000"/>
          <w:sz w:val="22"/>
          <w:szCs w:val="22"/>
          <w:u w:val="single"/>
        </w:rPr>
        <w:t>BDEA Mission and Vision</w:t>
      </w:r>
    </w:p>
    <w:p w14:paraId="00000033" w14:textId="77777777" w:rsidR="00896C5B" w:rsidRDefault="00896C5B">
      <w:pPr>
        <w:rPr>
          <w:rFonts w:ascii="Calibri" w:eastAsia="Calibri" w:hAnsi="Calibri" w:cs="Calibri"/>
          <w:sz w:val="22"/>
          <w:szCs w:val="22"/>
        </w:rPr>
      </w:pPr>
    </w:p>
    <w:p w14:paraId="00000034" w14:textId="77777777" w:rsidR="00896C5B" w:rsidRDefault="004D059F">
      <w:pPr>
        <w:rPr>
          <w:rFonts w:ascii="Calibri" w:eastAsia="Calibri" w:hAnsi="Calibri" w:cs="Calibri"/>
          <w:sz w:val="22"/>
          <w:szCs w:val="22"/>
        </w:rPr>
      </w:pPr>
      <w:r>
        <w:rPr>
          <w:rFonts w:ascii="Calibri" w:eastAsia="Calibri" w:hAnsi="Calibri" w:cs="Calibri"/>
          <w:i/>
          <w:color w:val="000000"/>
          <w:sz w:val="22"/>
          <w:szCs w:val="22"/>
        </w:rPr>
        <w:t>When other doors have closed, our students seek the key to unlock new opportunity. Here at BDEA, they find it.</w:t>
      </w:r>
    </w:p>
    <w:p w14:paraId="00000035" w14:textId="77777777" w:rsidR="00896C5B" w:rsidRDefault="00896C5B">
      <w:pPr>
        <w:rPr>
          <w:rFonts w:ascii="Calibri" w:eastAsia="Calibri" w:hAnsi="Calibri" w:cs="Calibri"/>
          <w:sz w:val="22"/>
          <w:szCs w:val="22"/>
        </w:rPr>
      </w:pPr>
    </w:p>
    <w:p w14:paraId="00000036" w14:textId="77777777" w:rsidR="00896C5B" w:rsidRDefault="004D059F">
      <w:pPr>
        <w:rPr>
          <w:rFonts w:ascii="Calibri" w:eastAsia="Calibri" w:hAnsi="Calibri" w:cs="Calibri"/>
          <w:sz w:val="22"/>
          <w:szCs w:val="22"/>
        </w:rPr>
      </w:pPr>
      <w:r>
        <w:rPr>
          <w:rFonts w:ascii="Calibri" w:eastAsia="Calibri" w:hAnsi="Calibri" w:cs="Calibri"/>
          <w:b/>
          <w:color w:val="000000"/>
          <w:sz w:val="22"/>
          <w:szCs w:val="22"/>
          <w:u w:val="single"/>
        </w:rPr>
        <w:t>Vision:</w:t>
      </w:r>
    </w:p>
    <w:p w14:paraId="00000037" w14:textId="77777777" w:rsidR="00896C5B" w:rsidRDefault="004D059F">
      <w:pPr>
        <w:rPr>
          <w:rFonts w:ascii="Calibri" w:eastAsia="Calibri" w:hAnsi="Calibri" w:cs="Calibri"/>
          <w:sz w:val="22"/>
          <w:szCs w:val="22"/>
        </w:rPr>
      </w:pPr>
      <w:r>
        <w:rPr>
          <w:rFonts w:ascii="Calibri" w:eastAsia="Calibri" w:hAnsi="Calibri" w:cs="Calibri"/>
          <w:color w:val="000000"/>
          <w:sz w:val="22"/>
          <w:szCs w:val="22"/>
        </w:rPr>
        <w:t>Young adults own their learning to ignite personal and community transformation.</w:t>
      </w:r>
    </w:p>
    <w:p w14:paraId="00000038" w14:textId="77777777" w:rsidR="00896C5B" w:rsidRDefault="00896C5B">
      <w:pPr>
        <w:rPr>
          <w:rFonts w:ascii="Calibri" w:eastAsia="Calibri" w:hAnsi="Calibri" w:cs="Calibri"/>
          <w:sz w:val="22"/>
          <w:szCs w:val="22"/>
        </w:rPr>
      </w:pPr>
    </w:p>
    <w:p w14:paraId="00000039" w14:textId="77777777" w:rsidR="00896C5B" w:rsidRDefault="004D059F">
      <w:pPr>
        <w:rPr>
          <w:rFonts w:ascii="Calibri" w:eastAsia="Calibri" w:hAnsi="Calibri" w:cs="Calibri"/>
          <w:sz w:val="22"/>
          <w:szCs w:val="22"/>
        </w:rPr>
      </w:pPr>
      <w:r>
        <w:rPr>
          <w:rFonts w:ascii="Calibri" w:eastAsia="Calibri" w:hAnsi="Calibri" w:cs="Calibri"/>
          <w:b/>
          <w:color w:val="000000"/>
          <w:sz w:val="22"/>
          <w:szCs w:val="22"/>
          <w:u w:val="single"/>
        </w:rPr>
        <w:t>Mission</w:t>
      </w:r>
    </w:p>
    <w:p w14:paraId="0000003A" w14:textId="77777777" w:rsidR="00896C5B" w:rsidRDefault="004D059F">
      <w:pPr>
        <w:rPr>
          <w:rFonts w:ascii="Times New Roman" w:eastAsia="Times New Roman" w:hAnsi="Times New Roman" w:cs="Times New Roman"/>
          <w:sz w:val="20"/>
          <w:szCs w:val="20"/>
        </w:rPr>
      </w:pPr>
      <w:r>
        <w:rPr>
          <w:rFonts w:ascii="Calibri" w:eastAsia="Calibri" w:hAnsi="Calibri" w:cs="Calibri"/>
          <w:color w:val="2B2B2B"/>
          <w:sz w:val="22"/>
          <w:szCs w:val="22"/>
        </w:rPr>
        <w:t>Boston Day and Evening Academy engages young adults to build a vision for their future through supportive relationships and meaningful competency-based learning experiences</w:t>
      </w:r>
      <w:r>
        <w:rPr>
          <w:rFonts w:ascii="Times New Roman" w:eastAsia="Times New Roman" w:hAnsi="Times New Roman" w:cs="Times New Roman"/>
          <w:color w:val="2B2B2B"/>
        </w:rPr>
        <w:t>.</w:t>
      </w:r>
    </w:p>
    <w:p w14:paraId="0000003B" w14:textId="77777777" w:rsidR="00896C5B" w:rsidRDefault="00896C5B">
      <w:pPr>
        <w:rPr>
          <w:rFonts w:ascii="Times New Roman" w:eastAsia="Times New Roman" w:hAnsi="Times New Roman" w:cs="Times New Roman"/>
          <w:sz w:val="20"/>
          <w:szCs w:val="20"/>
        </w:rPr>
      </w:pPr>
    </w:p>
    <w:p w14:paraId="0000003C" w14:textId="77777777" w:rsidR="00896C5B" w:rsidRDefault="004D059F">
      <w:pPr>
        <w:numPr>
          <w:ilvl w:val="0"/>
          <w:numId w:val="5"/>
        </w:numPr>
        <w:rPr>
          <w:rFonts w:ascii="Calibri" w:eastAsia="Calibri" w:hAnsi="Calibri" w:cs="Calibri"/>
          <w:b/>
          <w:color w:val="000000"/>
          <w:sz w:val="22"/>
          <w:szCs w:val="22"/>
        </w:rPr>
      </w:pPr>
      <w:r>
        <w:rPr>
          <w:rFonts w:ascii="Calibri" w:eastAsia="Calibri" w:hAnsi="Calibri" w:cs="Calibri"/>
          <w:b/>
          <w:color w:val="000000"/>
          <w:sz w:val="22"/>
          <w:szCs w:val="22"/>
        </w:rPr>
        <w:t>New Business, Announcements, Meeting Adjourn</w:t>
      </w:r>
    </w:p>
    <w:p w14:paraId="0000003D" w14:textId="77777777" w:rsidR="00896C5B" w:rsidRDefault="00896C5B">
      <w:pPr>
        <w:rPr>
          <w:rFonts w:ascii="Times New Roman" w:eastAsia="Times New Roman" w:hAnsi="Times New Roman" w:cs="Times New Roman"/>
          <w:sz w:val="20"/>
          <w:szCs w:val="20"/>
        </w:rPr>
      </w:pPr>
    </w:p>
    <w:p w14:paraId="0000003E" w14:textId="77777777" w:rsidR="00896C5B" w:rsidRDefault="004D059F">
      <w:pPr>
        <w:numPr>
          <w:ilvl w:val="0"/>
          <w:numId w:val="6"/>
        </w:numPr>
        <w:rPr>
          <w:color w:val="000000"/>
        </w:rPr>
      </w:pPr>
      <w:r>
        <w:rPr>
          <w:rFonts w:ascii="Calibri" w:eastAsia="Calibri" w:hAnsi="Calibri" w:cs="Calibri"/>
          <w:sz w:val="22"/>
          <w:szCs w:val="22"/>
        </w:rPr>
        <w:t xml:space="preserve">Reviewed upcoming events: </w:t>
      </w:r>
      <w:r>
        <w:rPr>
          <w:rFonts w:ascii="Calibri" w:eastAsia="Calibri" w:hAnsi="Calibri" w:cs="Calibri"/>
          <w:color w:val="000000"/>
          <w:sz w:val="22"/>
          <w:szCs w:val="22"/>
        </w:rPr>
        <w:t>T</w:t>
      </w:r>
      <w:r>
        <w:rPr>
          <w:rFonts w:ascii="Calibri" w:eastAsia="Calibri" w:hAnsi="Calibri" w:cs="Calibri"/>
          <w:color w:val="000000"/>
          <w:sz w:val="22"/>
          <w:szCs w:val="22"/>
        </w:rPr>
        <w:t>hankful Dinner - Nov. 19</w:t>
      </w:r>
      <w:r>
        <w:rPr>
          <w:rFonts w:ascii="Calibri" w:eastAsia="Calibri" w:hAnsi="Calibri" w:cs="Calibri"/>
          <w:sz w:val="22"/>
          <w:szCs w:val="22"/>
        </w:rPr>
        <w:t xml:space="preserve">, </w:t>
      </w:r>
      <w:r>
        <w:rPr>
          <w:rFonts w:ascii="Calibri" w:eastAsia="Calibri" w:hAnsi="Calibri" w:cs="Calibri"/>
          <w:color w:val="000000"/>
          <w:sz w:val="22"/>
          <w:szCs w:val="22"/>
        </w:rPr>
        <w:t xml:space="preserve">Graduation - Dec 5, </w:t>
      </w:r>
      <w:r>
        <w:rPr>
          <w:rFonts w:ascii="Calibri" w:eastAsia="Calibri" w:hAnsi="Calibri" w:cs="Calibri"/>
          <w:sz w:val="22"/>
          <w:szCs w:val="22"/>
        </w:rPr>
        <w:t>Symposium Night - Dec. 19</w:t>
      </w:r>
    </w:p>
    <w:p w14:paraId="0000003F" w14:textId="77777777" w:rsidR="00896C5B" w:rsidRDefault="004D059F">
      <w:pPr>
        <w:numPr>
          <w:ilvl w:val="0"/>
          <w:numId w:val="6"/>
        </w:numPr>
        <w:rPr>
          <w:color w:val="000000"/>
        </w:rPr>
      </w:pPr>
      <w:r>
        <w:rPr>
          <w:rFonts w:ascii="Calibri" w:eastAsia="Calibri" w:hAnsi="Calibri" w:cs="Calibri"/>
          <w:color w:val="000000"/>
          <w:sz w:val="22"/>
          <w:szCs w:val="22"/>
        </w:rPr>
        <w:t>Go Fund Me - Danny encourages the BoT to donate for them to be 100% giving - BoT</w:t>
      </w:r>
    </w:p>
    <w:p w14:paraId="00000040" w14:textId="77777777" w:rsidR="00896C5B" w:rsidRDefault="004D059F">
      <w:pPr>
        <w:rPr>
          <w:rFonts w:ascii="Times New Roman" w:eastAsia="Times New Roman" w:hAnsi="Times New Roman" w:cs="Times New Roman"/>
          <w:sz w:val="20"/>
          <w:szCs w:val="20"/>
        </w:rPr>
      </w:pPr>
      <w:r>
        <w:rPr>
          <w:rFonts w:ascii="Calibri" w:eastAsia="Calibri" w:hAnsi="Calibri" w:cs="Calibri"/>
          <w:color w:val="000000"/>
          <w:sz w:val="22"/>
          <w:szCs w:val="22"/>
        </w:rPr>
        <w:br/>
        <w:t>Danny adjourns at 7:31 pm</w:t>
      </w:r>
    </w:p>
    <w:p w14:paraId="00000041" w14:textId="77777777" w:rsidR="00896C5B" w:rsidRDefault="004D059F">
      <w:pPr>
        <w:rPr>
          <w:rFonts w:ascii="Times New Roman" w:eastAsia="Times New Roman" w:hAnsi="Times New Roman" w:cs="Times New Roman"/>
          <w:sz w:val="20"/>
          <w:szCs w:val="20"/>
        </w:rPr>
      </w:pPr>
      <w:r>
        <w:rPr>
          <w:rFonts w:ascii="Calibri" w:eastAsia="Calibri" w:hAnsi="Calibri" w:cs="Calibri"/>
          <w:color w:val="000000"/>
          <w:sz w:val="22"/>
          <w:szCs w:val="22"/>
          <w:u w:val="single"/>
        </w:rPr>
        <w:t>Motion</w:t>
      </w:r>
      <w:r>
        <w:rPr>
          <w:rFonts w:ascii="Calibri" w:eastAsia="Calibri" w:hAnsi="Calibri" w:cs="Calibri"/>
          <w:color w:val="000000"/>
          <w:sz w:val="22"/>
          <w:szCs w:val="22"/>
        </w:rPr>
        <w:t xml:space="preserve"> to adjourn meeting: Danny Rivera</w:t>
      </w:r>
    </w:p>
    <w:p w14:paraId="00000042" w14:textId="77777777" w:rsidR="00896C5B" w:rsidRDefault="004D059F">
      <w:pPr>
        <w:rPr>
          <w:rFonts w:ascii="Times New Roman" w:eastAsia="Times New Roman" w:hAnsi="Times New Roman" w:cs="Times New Roman"/>
          <w:sz w:val="20"/>
          <w:szCs w:val="20"/>
        </w:rPr>
      </w:pPr>
      <w:r>
        <w:rPr>
          <w:rFonts w:ascii="Calibri" w:eastAsia="Calibri" w:hAnsi="Calibri" w:cs="Calibri"/>
          <w:color w:val="000000"/>
          <w:sz w:val="22"/>
          <w:szCs w:val="22"/>
          <w:u w:val="single"/>
        </w:rPr>
        <w:t>Second motion</w:t>
      </w:r>
      <w:r>
        <w:rPr>
          <w:rFonts w:ascii="Calibri" w:eastAsia="Calibri" w:hAnsi="Calibri" w:cs="Calibri"/>
          <w:color w:val="000000"/>
          <w:sz w:val="22"/>
          <w:szCs w:val="22"/>
        </w:rPr>
        <w:t>: Constance Borab</w:t>
      </w:r>
    </w:p>
    <w:p w14:paraId="00000043" w14:textId="77777777" w:rsidR="00896C5B" w:rsidRDefault="004D059F">
      <w:pPr>
        <w:rPr>
          <w:rFonts w:ascii="Times New Roman" w:eastAsia="Times New Roman" w:hAnsi="Times New Roman" w:cs="Times New Roman"/>
          <w:sz w:val="20"/>
          <w:szCs w:val="20"/>
        </w:rPr>
      </w:pPr>
      <w:r>
        <w:rPr>
          <w:rFonts w:ascii="Calibri" w:eastAsia="Calibri" w:hAnsi="Calibri" w:cs="Calibri"/>
          <w:color w:val="000000"/>
          <w:sz w:val="22"/>
          <w:szCs w:val="22"/>
        </w:rPr>
        <w:t>Unanimous agreement - All in favor, no abstains</w:t>
      </w:r>
    </w:p>
    <w:p w14:paraId="00000044" w14:textId="77777777" w:rsidR="00896C5B" w:rsidRDefault="00896C5B">
      <w:pPr>
        <w:rPr>
          <w:rFonts w:ascii="Times New Roman" w:eastAsia="Times New Roman" w:hAnsi="Times New Roman" w:cs="Times New Roman"/>
          <w:sz w:val="20"/>
          <w:szCs w:val="20"/>
        </w:rPr>
      </w:pPr>
    </w:p>
    <w:p w14:paraId="00000045" w14:textId="77777777" w:rsidR="00896C5B" w:rsidRDefault="00896C5B"/>
    <w:sectPr w:rsidR="00896C5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396"/>
    <w:multiLevelType w:val="multilevel"/>
    <w:tmpl w:val="1424F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E93C32"/>
    <w:multiLevelType w:val="multilevel"/>
    <w:tmpl w:val="0A48BA1A"/>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E8F6787"/>
    <w:multiLevelType w:val="multilevel"/>
    <w:tmpl w:val="E45C42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0B7145"/>
    <w:multiLevelType w:val="multilevel"/>
    <w:tmpl w:val="75A844D2"/>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2B51F28"/>
    <w:multiLevelType w:val="multilevel"/>
    <w:tmpl w:val="182C9272"/>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CAE5366"/>
    <w:multiLevelType w:val="multilevel"/>
    <w:tmpl w:val="56F089D8"/>
    <w:lvl w:ilvl="0">
      <w:start w:val="5"/>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FB74BF4"/>
    <w:multiLevelType w:val="multilevel"/>
    <w:tmpl w:val="2040A3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42E5A80"/>
    <w:multiLevelType w:val="multilevel"/>
    <w:tmpl w:val="38E03D20"/>
    <w:lvl w:ilvl="0">
      <w:start w:val="3"/>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97E3987"/>
    <w:multiLevelType w:val="multilevel"/>
    <w:tmpl w:val="5ED2297A"/>
    <w:lvl w:ilvl="0">
      <w:start w:val="4"/>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8"/>
  </w:num>
  <w:num w:numId="3">
    <w:abstractNumId w:val="5"/>
  </w:num>
  <w:num w:numId="4">
    <w:abstractNumId w:val="3"/>
  </w:num>
  <w:num w:numId="5">
    <w:abstractNumId w:val="4"/>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5B"/>
    <w:rsid w:val="004D059F"/>
    <w:rsid w:val="0089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50260DD-4E29-D74F-B737-23470B5A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Hramiec</cp:lastModifiedBy>
  <cp:revision>2</cp:revision>
  <dcterms:created xsi:type="dcterms:W3CDTF">2020-01-13T18:41:00Z</dcterms:created>
  <dcterms:modified xsi:type="dcterms:W3CDTF">2020-01-13T18:41:00Z</dcterms:modified>
</cp:coreProperties>
</file>